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440001-2022-26185</w:t>
      </w:r>
    </w:p>
    <w:p>
      <w:pPr>
        <w:jc w:val="center"/>
      </w:pPr>
      <w:r>
        <w:rPr>
          <w:b/>
          <w:sz w:val="24"/>
        </w:rPr>
        <w:t>采购项目编号：</w:t>
      </w:r>
      <w:r>
        <w:rPr>
          <w:b/>
          <w:sz w:val="24"/>
        </w:rPr>
        <w:t>0809-2241GDG33130</w:t>
      </w:r>
    </w:p>
    <w:p>
      <w:pPr>
        <w:jc w:val="center"/>
      </w:pPr>
      <w:r>
        <w:rPr>
          <w:b/>
          <w:sz w:val="24"/>
        </w:rPr>
        <w:t>项目名称：</w:t>
      </w:r>
      <w:r>
        <w:rPr>
          <w:b/>
          <w:sz w:val="24"/>
        </w:rPr>
        <w:t>广东省公共卫生医学中心环境影响评价服务项目</w:t>
      </w:r>
    </w:p>
    <w:p>
      <w:pPr>
        <w:jc w:val="center"/>
      </w:pPr>
      <w:r>
        <w:rPr>
          <w:b/>
          <w:sz w:val="24"/>
        </w:rPr>
        <w:t>采购人：</w:t>
      </w:r>
      <w:r>
        <w:rPr>
          <w:b/>
          <w:sz w:val="24"/>
        </w:rPr>
        <w:t>广东省泗安医院</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广东省泗安医院</w:t>
      </w:r>
      <w:r>
        <w:rPr/>
        <w:t>的委托，采用</w:t>
      </w:r>
      <w:r>
        <w:rPr/>
        <w:t>公开招标</w:t>
      </w:r>
      <w:r>
        <w:rPr/>
        <w:t>方式组织采购</w:t>
      </w:r>
      <w:r>
        <w:rPr/>
        <w:t>广东省公共卫生医学中心环境影响评价服务项目</w:t>
      </w:r>
      <w:r>
        <w:rPr/>
        <w:t>。欢迎符合资格条件的国内供应商参加投标。</w:t>
      </w:r>
    </w:p>
    <w:p>
      <w:r>
        <w:rPr>
          <w:b/>
          <w:sz w:val="28"/>
        </w:rPr>
        <w:t>一.项目概述</w:t>
      </w:r>
    </w:p>
    <w:p>
      <w:r>
        <w:rPr>
          <w:b/>
          <w:sz w:val="24"/>
        </w:rPr>
        <w:t>1.名称与编号</w:t>
      </w:r>
    </w:p>
    <w:p>
      <w:pPr>
        <w:ind w:firstLine="480"/>
      </w:pPr>
      <w:r>
        <w:rPr/>
        <w:t>项目名称：</w:t>
      </w:r>
      <w:r>
        <w:rPr/>
        <w:t>广东省公共卫生医学中心环境影响评价服务项目</w:t>
      </w:r>
    </w:p>
    <w:p>
      <w:pPr>
        <w:ind w:firstLine="480"/>
      </w:pPr>
      <w:r>
        <w:rPr/>
        <w:t>采购计划编号：</w:t>
      </w:r>
      <w:r>
        <w:rPr/>
        <w:t>440001-2022-26185</w:t>
      </w:r>
    </w:p>
    <w:p>
      <w:pPr>
        <w:ind w:firstLine="480"/>
      </w:pPr>
      <w:r>
        <w:rPr/>
        <w:t>采购项目编号：</w:t>
      </w:r>
      <w:r>
        <w:rPr/>
        <w:t>0809-2241GDG33130</w:t>
      </w:r>
    </w:p>
    <w:p>
      <w:pPr>
        <w:ind w:firstLine="480"/>
      </w:pPr>
      <w:r>
        <w:rPr/>
        <w:t>采购方式：</w:t>
      </w:r>
      <w:r>
        <w:rPr/>
        <w:t>公开招标</w:t>
      </w:r>
    </w:p>
    <w:p>
      <w:pPr>
        <w:ind w:firstLine="480"/>
      </w:pPr>
      <w:r>
        <w:rPr/>
        <w:t>预算金额：</w:t>
      </w:r>
      <w:r>
        <w:rPr/>
        <w:t>1,600,000.00</w:t>
      </w:r>
      <w:r>
        <w:rPr/>
        <w:t>元</w:t>
      </w:r>
    </w:p>
    <w:p>
      <w:r>
        <w:rPr>
          <w:b/>
          <w:sz w:val="24"/>
        </w:rPr>
        <w:t>2.项目内容及需求情况（采购项目技术规格、参数及要求）</w:t>
      </w:r>
    </w:p>
    <w:p>
      <w:pPr>
        <w:ind w:firstLine="480"/>
      </w:pPr>
    </w:p>
    <w:p/>
    <w:p>
      <w:r>
        <w:rPr/>
        <w:t>采购包1(广东省公共卫生医学中心环境影响评价服务项目):</w:t>
      </w:r>
    </w:p>
    <w:p>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广东省公共卫生医学中心环境影响评价服务项目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合同履行期限：报告书编制时间为90个工作日，其他服务具体时间视项目进展情况</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3）具有良好的商业信誉和健全的财务会计制度：具有良好的商业信誉和健全的财务会计制度：供应商必须具有良好的商业信誉和健全的财务会计制度[提供2020年度或2021年度 财务状况报告或基本开户行出具的资信证明，或最近一期财务报表（适用在上一年度或本财务年度成立的法人或其他组织）， 或人民银行出具的个人信用报告（适用于自然人）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采购包1（广东省公共卫生医学中心环境影响评价服务项目）：</w:t>
      </w:r>
      <w:r>
        <w:rPr/>
        <w:t>无</w:t>
      </w:r>
    </w:p>
    <w:p/>
    <w:p>
      <w:r>
        <w:rPr>
          <w:b/>
          <w:sz w:val="24"/>
        </w:rPr>
        <w:t>3.本项目特定的资格要求：</w:t>
      </w:r>
    </w:p>
    <w:p>
      <w:pPr>
        <w:ind w:firstLine="480"/>
      </w:pPr>
    </w:p>
    <w:p/>
    <w:p>
      <w:r>
        <w:rPr/>
        <w:t>采购包1（广东省公共卫生医学中心环境影响评价服务项目）：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3)供应商已按采购公告及采购文件的规定获取了采购文件</w:t>
      </w:r>
    </w:p>
    <w:p/>
    <w:p>
      <w:r>
        <w:rPr/>
        <w:t>4)本项目不接受联合体报价</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www.gdhualun.com.cn</w:t>
      </w:r>
      <w:r>
        <w:rPr/>
        <w:t>。</w:t>
      </w:r>
    </w:p>
    <w:p>
      <w:r>
        <w:rPr>
          <w:b/>
          <w:sz w:val="28"/>
        </w:rPr>
        <w:t>六.本项目联系方式：</w:t>
      </w:r>
    </w:p>
    <w:p>
      <w:r>
        <w:rPr>
          <w:b/>
          <w:sz w:val="24"/>
        </w:rPr>
        <w:t>1.采购人信息</w:t>
      </w:r>
    </w:p>
    <w:p>
      <w:pPr>
        <w:ind w:firstLine="480"/>
      </w:pPr>
      <w:r>
        <w:rPr/>
        <w:t>名称：</w:t>
      </w:r>
      <w:r>
        <w:rPr/>
        <w:t>广东省泗安医院</w:t>
      </w:r>
    </w:p>
    <w:p>
      <w:pPr>
        <w:ind w:firstLine="480"/>
      </w:pPr>
      <w:r>
        <w:rPr/>
        <w:t>地址：</w:t>
      </w:r>
      <w:r>
        <w:rPr/>
        <w:t>广州市禺东西路40号</w:t>
      </w:r>
    </w:p>
    <w:p>
      <w:pPr>
        <w:ind w:firstLine="480"/>
      </w:pPr>
      <w:r>
        <w:rPr/>
        <w:t>联系方式：</w:t>
      </w:r>
      <w:r>
        <w:rPr/>
        <w:t>020－38906222</w:t>
      </w:r>
    </w:p>
    <w:p>
      <w:r>
        <w:rPr>
          <w:b/>
          <w:sz w:val="24"/>
        </w:rPr>
        <w:t>2.采购代理机构信息</w:t>
      </w:r>
    </w:p>
    <w:p>
      <w:pPr>
        <w:ind w:firstLine="480"/>
      </w:pPr>
      <w:r>
        <w:rPr/>
        <w:t>名称：</w:t>
      </w:r>
      <w:r>
        <w:rPr/>
        <w:t>广东华伦招标有限公司</w:t>
      </w:r>
    </w:p>
    <w:p>
      <w:pPr>
        <w:ind w:firstLine="480"/>
      </w:pPr>
      <w:r>
        <w:rPr/>
        <w:t>地址：</w:t>
      </w:r>
      <w:r>
        <w:rPr/>
        <w:t>广东省广州市越秀区广仁路1号广仁大厦7楼</w:t>
      </w:r>
    </w:p>
    <w:p>
      <w:pPr>
        <w:ind w:firstLine="480"/>
      </w:pPr>
      <w:r>
        <w:rPr/>
        <w:t>联系方式：</w:t>
      </w:r>
      <w:r>
        <w:rPr/>
        <w:t>020-83172166-832</w:t>
      </w:r>
    </w:p>
    <w:p>
      <w:r>
        <w:rPr>
          <w:b/>
          <w:sz w:val="24"/>
        </w:rPr>
        <w:t>3.项目联系方式</w:t>
      </w:r>
    </w:p>
    <w:p>
      <w:pPr>
        <w:ind w:firstLine="480"/>
      </w:pPr>
      <w:r>
        <w:rPr/>
        <w:t>项目联系人：</w:t>
      </w:r>
      <w:r>
        <w:rPr/>
        <w:t>广东华伦</w:t>
      </w:r>
    </w:p>
    <w:p>
      <w:pPr>
        <w:ind w:firstLine="480"/>
      </w:pPr>
      <w:r>
        <w:rPr/>
        <w:t>电话：</w:t>
      </w:r>
      <w:r>
        <w:rPr/>
        <w:t>020-83172166-832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320"/>
      </w:pPr>
      <w:r>
        <w:rPr>
          <w:b/>
          <w:sz w:val="19"/>
        </w:rPr>
        <w:t>1</w:t>
      </w:r>
      <w:r>
        <w:rPr>
          <w:b/>
          <w:sz w:val="19"/>
        </w:rPr>
        <w:t>、项目名称：</w:t>
      </w:r>
      <w:r>
        <w:rPr>
          <w:sz w:val="19"/>
        </w:rPr>
        <w:t>广东省公共卫生医学中心环境影响评价服务项目</w:t>
      </w:r>
    </w:p>
    <w:p>
      <w:pPr>
        <w:ind w:firstLine="601"/>
      </w:pPr>
      <w:r>
        <w:rPr>
          <w:b/>
          <w:sz w:val="19"/>
        </w:rPr>
        <w:t>项目地点：</w:t>
      </w:r>
      <w:r>
        <w:rPr>
          <w:sz w:val="19"/>
        </w:rPr>
        <w:t>广东省公共卫生医学中心选址为广东省泗安医院所在地，用地面积为838.3亩。场址位于东莞市麻涌镇海心沙岛，处于东莞市西南部，与广州市番禺区隔狮子洋相望，地处粤港澳大湾区中心区域位置。医院东面、南面为农田，西面紧邻淡水河；西南边距离约3500m为东莞市虎门港立沙岛石化仓储及精细化学工业基地，北侧紧邻东莞市海心沙资源综合利用中心。</w:t>
      </w:r>
    </w:p>
    <w:p>
      <w:pPr>
        <w:ind w:firstLine="319"/>
      </w:pPr>
      <w:r>
        <w:rPr>
          <w:sz w:val="19"/>
        </w:rPr>
        <w:t>采购内容：广东省公共卫生医学中心环境影响评价服务。</w:t>
      </w:r>
    </w:p>
    <w:p>
      <w:pPr>
        <w:ind w:firstLine="598"/>
      </w:pPr>
      <w:r>
        <w:rPr>
          <w:sz w:val="19"/>
        </w:rPr>
        <w:t>2、项目背景</w:t>
      </w:r>
    </w:p>
    <w:p>
      <w:pPr>
        <w:ind w:firstLine="598"/>
      </w:pPr>
      <w:r>
        <w:rPr>
          <w:sz w:val="19"/>
        </w:rPr>
        <w:t>2020年2月，中共广东省委机构编制委员会同意整合省泗安医院、省结核病控制中心，组建省公共卫生医学中心（省传染病医院），对外保留省泗安医院牌子，为省卫生健康委所属事业单位，公益一类，正处级单位。项目建设后主要任务包括：</w:t>
      </w:r>
    </w:p>
    <w:p>
      <w:pPr>
        <w:ind w:firstLine="598"/>
      </w:pPr>
      <w:r>
        <w:rPr>
          <w:sz w:val="19"/>
        </w:rPr>
        <w:t>1.承担公共卫生应用技术研究相关工作，参与公共卫生技术标准、规划规范和重大公共卫生事件处置方案措施的研究制定；</w:t>
      </w:r>
    </w:p>
    <w:p>
      <w:pPr>
        <w:ind w:firstLine="598"/>
      </w:pPr>
      <w:r>
        <w:rPr>
          <w:sz w:val="19"/>
        </w:rPr>
        <w:t>2.承担省级公共卫生应急物资储备、调拨工作；</w:t>
      </w:r>
    </w:p>
    <w:p>
      <w:pPr>
        <w:ind w:firstLine="598"/>
      </w:pPr>
      <w:r>
        <w:rPr>
          <w:sz w:val="19"/>
        </w:rPr>
        <w:t>3.承担全省传染病防控、检测、科研相关工作；</w:t>
      </w:r>
    </w:p>
    <w:p>
      <w:pPr>
        <w:ind w:firstLine="598"/>
      </w:pPr>
      <w:r>
        <w:rPr>
          <w:sz w:val="19"/>
        </w:rPr>
        <w:t>4.开展传染病临床治疗、综合救治等工作；</w:t>
      </w:r>
    </w:p>
    <w:p>
      <w:pPr>
        <w:ind w:firstLine="598"/>
      </w:pPr>
      <w:r>
        <w:rPr>
          <w:sz w:val="19"/>
        </w:rPr>
        <w:t>5.开展重大传染病综合防治与创新技术研究，开展重大传染病起源、诊断、治疗药物及疫苗研究；</w:t>
      </w:r>
    </w:p>
    <w:p>
      <w:pPr>
        <w:ind w:firstLine="598"/>
      </w:pPr>
      <w:r>
        <w:rPr>
          <w:sz w:val="19"/>
        </w:rPr>
        <w:t>6.承担结核病控制项目的组织实施；</w:t>
      </w:r>
    </w:p>
    <w:p>
      <w:pPr>
        <w:ind w:firstLine="598"/>
      </w:pPr>
      <w:r>
        <w:rPr>
          <w:sz w:val="19"/>
        </w:rPr>
        <w:t>7.开展慢性疾病防治的基础、临床研究及防控适宜技术推广；</w:t>
      </w:r>
    </w:p>
    <w:p>
      <w:pPr>
        <w:ind w:firstLine="598"/>
      </w:pPr>
      <w:r>
        <w:rPr>
          <w:sz w:val="19"/>
        </w:rPr>
        <w:t>8.承担麻风病诊治、科研、技术指导，承担麻风病治愈者的康复、疗养，开展皮肤病临床医疗工作。</w:t>
      </w:r>
    </w:p>
    <w:p>
      <w:pPr>
        <w:ind w:firstLine="598"/>
      </w:pPr>
      <w:r>
        <w:rPr>
          <w:sz w:val="19"/>
        </w:rPr>
        <w:t>2.1建设项目定位</w:t>
      </w:r>
    </w:p>
    <w:p>
      <w:pPr>
        <w:ind w:firstLine="598"/>
      </w:pPr>
      <w:r>
        <w:rPr>
          <w:sz w:val="19"/>
        </w:rPr>
        <w:t>以传染病临床救治为基础，重大急性传染病、传染病疑难病症和热带病综合诊疗为特色，多学科诊疗、互联网医院、科技创新平台为支撑，坚持平战结合、防治结合、中西医结合、线上线下结合、研究和转化结合、培训实训结合，建成集预防医学、临床治疗、应急响应、科学研究、人才培训、物资储备、国际交流等功能于一体的，服务大湾区、辐射东南亚、全球领先的综合性公共卫生医学高地。</w:t>
      </w:r>
    </w:p>
    <w:p>
      <w:pPr>
        <w:ind w:firstLine="320"/>
      </w:pPr>
      <w:r>
        <w:rPr>
          <w:b/>
          <w:sz w:val="19"/>
        </w:rPr>
        <w:t>2.2</w:t>
      </w:r>
      <w:r>
        <w:rPr>
          <w:b/>
          <w:sz w:val="19"/>
        </w:rPr>
        <w:t>工作依据</w:t>
      </w:r>
    </w:p>
    <w:p>
      <w:pPr>
        <w:ind w:firstLine="319"/>
      </w:pPr>
      <w:r>
        <w:rPr>
          <w:sz w:val="19"/>
        </w:rPr>
        <w:t>根据《中华人民共和国环境影响评价法》第三章建设项目的环境影响评价第十六条的规定：国家根据建设项目对环境的影响程度，对建设项目的环境影响评价实行分类管理。建设单位应当按照下列规定组织编制环境影响报告书、环境影响报告表或者填报环境影响登记表（以下统称环境影响评价文件）：</w:t>
      </w:r>
    </w:p>
    <w:p>
      <w:pPr>
        <w:ind w:firstLine="319"/>
      </w:pPr>
      <w:r>
        <w:rPr>
          <w:sz w:val="19"/>
        </w:rPr>
        <w:t>（一）可能造成重大环境影响的，应当编制环境影响报告书，对产生的环境影响进行全面评价；</w:t>
      </w:r>
    </w:p>
    <w:p>
      <w:pPr>
        <w:ind w:firstLine="319"/>
      </w:pPr>
      <w:r>
        <w:rPr>
          <w:sz w:val="19"/>
        </w:rPr>
        <w:t>（二）可能造成轻度环境影响的，应当编制环境影响报告表，对产生的环境影响进行分析或者专项评价；</w:t>
      </w:r>
    </w:p>
    <w:p>
      <w:pPr>
        <w:ind w:firstLine="319"/>
      </w:pPr>
      <w:r>
        <w:rPr>
          <w:sz w:val="19"/>
        </w:rPr>
        <w:t>（三）对环境影响很小、不需要进行环境影响评价的，应当填报环境影响登记表。</w:t>
      </w:r>
    </w:p>
    <w:p>
      <w:pPr>
        <w:ind w:firstLine="319"/>
      </w:pPr>
      <w:r>
        <w:rPr>
          <w:sz w:val="19"/>
        </w:rPr>
        <w:t>（四）建设项目的环境影响评价分类管理名录，由国务院生态环境主管部门制定并公布。</w:t>
      </w:r>
    </w:p>
    <w:p>
      <w:pPr>
        <w:ind w:firstLine="319"/>
      </w:pPr>
      <w:r>
        <w:rPr>
          <w:sz w:val="19"/>
        </w:rPr>
        <w:t>（五）根据《中华人民共和国环境影响评价法》第三章建设项目的环境影响评价第二十二条建设项目的环境影响报告书、报告表，由建设单位按照国务院的规定报有审批权的生态环境主管部门审批。</w:t>
      </w:r>
    </w:p>
    <w:p>
      <w:r>
        <w:rPr>
          <w:sz w:val="22"/>
        </w:rPr>
        <w:t xml:space="preserve">           （六）报告类别：根据《建设项目环境影响评价分类管理名录》要求实行分类管理，新建、扩建住院床位500张及以上的需编制环境影响评价报告书。</w:t>
      </w:r>
    </w:p>
    <w:p/>
    <w:p>
      <w:pPr>
        <w:ind w:firstLine="480"/>
      </w:pPr>
    </w:p>
    <w:p/>
    <w:p>
      <w:r>
        <w:rPr/>
        <w:t>采购包1（广东省公共卫生医学中心环境影响评价服务项目）：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报告书编制时间为90个工作日，其他服务具体时间视项目进展情况而定。</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1期：支付比例30%，在本项目合同签订后10个工作日内，中标人按合同总价开具符合国家有关 财税规定的的合法、有效的发票给采购人,并向采购人缴纳合同总价10%的履约保证金后，采购人启动款项支付流程，将合同总价全部转入双方认可的第三方银行托管。在托管完成后10个工作日内，中标人按合同总价的30%作为项目启动款向采购人提出书面请款报告，采购人办理此笔款支付手续。</w:t>
            </w:r>
          </w:p>
          <w:p/>
          <w:p>
            <w:r>
              <w:rPr/>
              <w:t>2期：支付比例20%，中标人完成对本项目环境影响评价报告书及生物安全三级实验室环境影响报告书的编制，并经专家论证工作形成初步成果后，10个工作日内，中标人按合同总价的20%向采购人提出书面请款报告，采购人办理此笔款支付手续。</w:t>
            </w:r>
          </w:p>
          <w:p/>
          <w:p>
            <w:r>
              <w:rPr/>
              <w:t>3期：支付比例40%，中标人完成对本项目环评报告书的部门审查及申报等工作，取得生态环境主管部门出具的本项目环评报告书的批复后后10个工作日内，中标人按合同总价的40%向采购人提出书面请款报告，采购人办理此笔款支付。</w:t>
            </w:r>
          </w:p>
          <w:p/>
          <w:p>
            <w:r>
              <w:rPr/>
              <w:t>4期：支付比例10%，中标人完成全部现场空气检测任务及有关环境影响咨询任务后，经采购方认可，在10个工作日内，中标人按合同总价的10%向采购人提出书面请款报告，采购人办理此笔款支付。 因广东省公共卫生医学中心账户暂无法开立， 财政拨款是通过广东省泗安医院账户下达，广东省泗安医院作为关联方受广东省公共卫生医学中心授权，本标的所有款项支付由广东省泗安医院账户进行代付直至广东省公共卫生医学中心账户开立使用。  合同款项支付重要说明：每笔付款均由中标人书面提出请款报告，附上发票、合同条款、成果文件等资料，采购人在收到中标人书面申请后，按约定时间内办理财政支付手续，最终支付以财政批准支付时间为准。 以上款项支付进度均需在采购人具备财政支付条件的情况下进行，如因采购人不具备财政支付条件导致的延后支付，采购人不需承担责任；以上支付不得违反采购人财政主管部门的相关规定。</w:t>
            </w:r>
          </w:p>
        </w:tc>
      </w:tr>
      <w:tr>
        <w:tc>
          <w:tcPr>
            <w:tcW w:type="dxa" w:w="4153"/>
          </w:tcPr>
          <w:p>
            <w:r>
              <w:rPr/>
              <w:t>验收要求</w:t>
            </w:r>
          </w:p>
        </w:tc>
        <w:tc>
          <w:tcPr>
            <w:tcW w:type="dxa" w:w="4153"/>
          </w:tcPr>
          <w:p>
            <w:pPr>
              <w:jc w:val="left"/>
            </w:pPr>
          </w:p>
          <w:p/>
          <w:p/>
          <w:p>
            <w:r>
              <w:rPr/>
              <w:t>1期：中标人应按采购人的要求按时、保质保量地完成服务工作，并按约定的时间和方式向采购人交付工作成果。采购人应对中标人提交的工作成果按约定质量标准进行验收，同时满足以下条件视为通过验收：（一）取得对该项目建设的支持回函；（二）环评报告通过审查，并获得政府部门的批准；（三）咨询服务等得到我方认可。</w:t>
            </w:r>
          </w:p>
        </w:tc>
      </w:tr>
      <w:tr>
        <w:tc>
          <w:tcPr>
            <w:tcW w:type="dxa" w:w="4153"/>
          </w:tcPr>
          <w:p>
            <w:r>
              <w:rPr/>
              <w:t>履约保证金</w:t>
            </w:r>
          </w:p>
        </w:tc>
        <w:tc>
          <w:tcPr>
            <w:tcW w:type="dxa" w:w="4153"/>
          </w:tcPr>
          <w:p>
            <w:pPr>
              <w:jc w:val="left"/>
            </w:pPr>
          </w:p>
          <w:p/>
          <w:p/>
          <w:p/>
          <w:p>
            <w:r>
              <w:rPr/>
              <w:t>收取比例：10%,说明：中标人在合同签订后10个工作日内向采购人缴纳合同金额10%的履约保证金，履约保证金在项目验收合格满30天后无息退还。缴纳方式：履约保函。</w:t>
            </w:r>
          </w:p>
        </w:tc>
      </w:tr>
      <w:tr>
        <w:tc>
          <w:tcPr>
            <w:tcW w:type="dxa" w:w="4153"/>
          </w:tcPr>
          <w:p>
            <w:r>
              <w:rPr/>
              <w:t>其他</w:t>
            </w:r>
          </w:p>
        </w:tc>
        <w:tc>
          <w:tcPr>
            <w:tcW w:type="dxa" w:w="4153"/>
          </w:tcPr>
          <w:p>
            <w:pPr>
              <w:jc w:val="left"/>
            </w:pPr>
          </w:p>
          <w:p/>
          <w:p>
            <w:r>
              <w:rPr/>
              <w:t>报价要求:投标人在投标文件中要列明在项目实施过程中要求采购人提供的配合条件。 报价要求：费用为全包价，包含但不限于成本费、劳务费、交通费、材料费、监测费、会议费、专家咨询及评审费用、调研费用、税金（全额含税发票）、雇员费用以及项目实施过程中其他应预见和不可预见费用等完成本采购项目的一切费用及企业利润。</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广东省公共卫生医学中心环境影响评价服务项目</w:t>
            </w:r>
          </w:p>
        </w:tc>
        <w:tc>
          <w:tcPr>
            <w:tcW w:type="dxa" w:w="385"/>
          </w:tcPr>
          <w:p>
            <w:r>
              <w:rPr/>
              <w:t>项</w:t>
            </w:r>
          </w:p>
        </w:tc>
        <w:tc>
          <w:tcPr>
            <w:tcW w:type="dxa" w:w="769"/>
          </w:tcPr>
          <w:p>
            <w:pPr>
              <w:jc w:val="right"/>
            </w:pPr>
            <w:r>
              <w:rPr/>
              <w:t>1.0000</w:t>
            </w:r>
          </w:p>
        </w:tc>
        <w:tc>
          <w:tcPr>
            <w:tcW w:type="dxa" w:w="769"/>
          </w:tcPr>
          <w:p>
            <w:pPr>
              <w:jc w:val="right"/>
            </w:pPr>
            <w:r>
              <w:rPr/>
              <w:t>1,600,000.00</w:t>
            </w:r>
          </w:p>
        </w:tc>
        <w:tc>
          <w:tcPr>
            <w:tcW w:type="dxa" w:w="769"/>
          </w:tcPr>
          <w:p>
            <w:pPr>
              <w:jc w:val="right"/>
            </w:pPr>
            <w:r>
              <w:rPr/>
              <w:t>1,600,000.00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广东省公共卫生医学中心环境影响评价服务项目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19"/>
              </w:rPr>
              <w:t>一、环境影响报告书编制包括：</w:t>
            </w:r>
          </w:p>
          <w:p>
            <w:pPr>
              <w:jc w:val="both"/>
            </w:pPr>
            <w:r>
              <w:rPr>
                <w:color w:val="000000"/>
                <w:sz w:val="19"/>
              </w:rPr>
              <w:t>（一）</w:t>
            </w:r>
            <w:r>
              <w:rPr>
                <w:color w:val="000000"/>
                <w:sz w:val="19"/>
              </w:rPr>
              <w:t>广东省公共卫生医学中心环境影响报告书编制</w:t>
            </w:r>
          </w:p>
          <w:p>
            <w:pPr>
              <w:jc w:val="both"/>
            </w:pPr>
            <w:r>
              <w:rPr>
                <w:color w:val="000000"/>
                <w:sz w:val="19"/>
              </w:rPr>
              <w:t>编写满足国家有关规定、程序及深度要求的环境影响评价报告书。</w:t>
            </w:r>
          </w:p>
          <w:p>
            <w:pPr>
              <w:jc w:val="both"/>
            </w:pPr>
            <w:r>
              <w:rPr>
                <w:color w:val="000000"/>
                <w:sz w:val="19"/>
              </w:rPr>
              <w:t>报告书内容包括但不限于以下内容：</w:t>
            </w:r>
          </w:p>
          <w:p>
            <w:pPr>
              <w:jc w:val="both"/>
            </w:pPr>
            <w:r>
              <w:rPr>
                <w:color w:val="000000"/>
                <w:sz w:val="19"/>
              </w:rPr>
              <w:t>1.建设项目概况；</w:t>
            </w:r>
          </w:p>
          <w:p>
            <w:pPr>
              <w:jc w:val="both"/>
            </w:pPr>
            <w:r>
              <w:rPr>
                <w:color w:val="000000"/>
                <w:sz w:val="19"/>
              </w:rPr>
              <w:t>2.建设项目周围环境现状；</w:t>
            </w:r>
          </w:p>
          <w:p>
            <w:pPr>
              <w:jc w:val="both"/>
            </w:pPr>
            <w:r>
              <w:rPr>
                <w:color w:val="000000"/>
                <w:sz w:val="19"/>
              </w:rPr>
              <w:t>3.建设项目对环境可能造成影响的分析、预测和评估；</w:t>
            </w:r>
          </w:p>
          <w:p>
            <w:pPr>
              <w:jc w:val="both"/>
            </w:pPr>
            <w:r>
              <w:rPr>
                <w:color w:val="000000"/>
                <w:sz w:val="19"/>
              </w:rPr>
              <w:t>4.建设项目环境保护措施及其技术、经济论证；</w:t>
            </w:r>
          </w:p>
          <w:p>
            <w:pPr>
              <w:jc w:val="both"/>
            </w:pPr>
            <w:r>
              <w:rPr>
                <w:color w:val="000000"/>
                <w:sz w:val="19"/>
              </w:rPr>
              <w:t>5.建设项目对环境影响的经济损益分析；</w:t>
            </w:r>
          </w:p>
          <w:p>
            <w:pPr>
              <w:jc w:val="both"/>
            </w:pPr>
            <w:r>
              <w:rPr>
                <w:color w:val="000000"/>
                <w:sz w:val="19"/>
              </w:rPr>
              <w:t>6.对建设项目实施环境监测的建议；</w:t>
            </w:r>
          </w:p>
          <w:p>
            <w:pPr>
              <w:jc w:val="both"/>
            </w:pPr>
            <w:r>
              <w:rPr>
                <w:color w:val="000000"/>
                <w:sz w:val="19"/>
              </w:rPr>
              <w:t>7.环境影响评价的结论。</w:t>
            </w:r>
          </w:p>
          <w:p>
            <w:pPr>
              <w:jc w:val="both"/>
            </w:pPr>
            <w:r>
              <w:rPr>
                <w:color w:val="000000"/>
                <w:sz w:val="19"/>
              </w:rPr>
              <w:t>（</w:t>
            </w:r>
            <w:r>
              <w:rPr>
                <w:color w:val="000000"/>
                <w:sz w:val="19"/>
              </w:rPr>
              <w:t>二</w:t>
            </w:r>
            <w:r>
              <w:rPr>
                <w:color w:val="000000"/>
                <w:sz w:val="19"/>
              </w:rPr>
              <w:t>）广东省公共卫生医学中心生物安全三级实验室环境影响报告书编制</w:t>
            </w:r>
          </w:p>
          <w:p>
            <w:pPr>
              <w:jc w:val="both"/>
            </w:pPr>
            <w:r>
              <w:rPr>
                <w:color w:val="000000"/>
                <w:sz w:val="19"/>
              </w:rPr>
              <w:t>编写满足国家有关规定、程序及深度要求的生物安全三级实验室环境影响评价报告书。</w:t>
            </w:r>
          </w:p>
          <w:p>
            <w:pPr>
              <w:jc w:val="both"/>
            </w:pPr>
            <w:r>
              <w:rPr>
                <w:color w:val="000000"/>
                <w:sz w:val="19"/>
              </w:rPr>
              <w:t>报告书内容包括但不限于以下内容：</w:t>
            </w:r>
          </w:p>
          <w:p>
            <w:pPr>
              <w:jc w:val="both"/>
            </w:pPr>
            <w:r>
              <w:rPr>
                <w:color w:val="000000"/>
                <w:sz w:val="19"/>
              </w:rPr>
              <w:t>1.建设项目概况；</w:t>
            </w:r>
          </w:p>
          <w:p>
            <w:pPr>
              <w:jc w:val="both"/>
            </w:pPr>
            <w:r>
              <w:rPr>
                <w:color w:val="000000"/>
                <w:sz w:val="19"/>
              </w:rPr>
              <w:t>2.建设项目周围环境现状；</w:t>
            </w:r>
          </w:p>
          <w:p>
            <w:pPr>
              <w:jc w:val="both"/>
            </w:pPr>
            <w:r>
              <w:rPr>
                <w:color w:val="000000"/>
                <w:sz w:val="19"/>
              </w:rPr>
              <w:t>3.建设项目对环境可能造成影响的分析、预测和评估；</w:t>
            </w:r>
          </w:p>
          <w:p>
            <w:pPr>
              <w:jc w:val="both"/>
            </w:pPr>
            <w:r>
              <w:rPr>
                <w:color w:val="000000"/>
                <w:sz w:val="19"/>
              </w:rPr>
              <w:t>4.建设项目环境保护措施及其技术、经济论证；</w:t>
            </w:r>
          </w:p>
          <w:p>
            <w:pPr>
              <w:jc w:val="both"/>
            </w:pPr>
            <w:r>
              <w:rPr>
                <w:color w:val="000000"/>
                <w:sz w:val="19"/>
              </w:rPr>
              <w:t>5.环境风险评价（含生物安全事故分析评价及防范措施）；</w:t>
            </w:r>
          </w:p>
          <w:p>
            <w:pPr>
              <w:jc w:val="both"/>
            </w:pPr>
            <w:r>
              <w:rPr>
                <w:color w:val="000000"/>
                <w:sz w:val="19"/>
              </w:rPr>
              <w:t>6.建设项目对环境影响的经济损益分析；</w:t>
            </w:r>
          </w:p>
          <w:p>
            <w:pPr>
              <w:jc w:val="both"/>
            </w:pPr>
            <w:r>
              <w:rPr>
                <w:color w:val="000000"/>
                <w:sz w:val="19"/>
              </w:rPr>
              <w:t>7.对建设项目实施环境监测的建议；</w:t>
            </w:r>
          </w:p>
          <w:p>
            <w:r>
              <w:rPr>
                <w:color w:val="000000"/>
                <w:sz w:val="19"/>
              </w:rPr>
              <w:t xml:space="preserve">         8.环境影响评价的结论。</w:t>
            </w:r>
          </w:p>
        </w:tc>
      </w:tr>
      <w:tr>
        <w:tc>
          <w:tcPr>
            <w:tcW w:type="dxa" w:w="2076"/>
          </w:tcPr>
          <w:p/>
        </w:tc>
        <w:tc>
          <w:tcPr>
            <w:tcW w:type="dxa" w:w="415"/>
          </w:tcPr>
          <w:p>
            <w:r>
              <w:rPr/>
              <w:t>2</w:t>
            </w:r>
          </w:p>
        </w:tc>
        <w:tc>
          <w:tcPr>
            <w:tcW w:type="dxa" w:w="5814"/>
          </w:tcPr>
          <w:p>
            <w:pPr>
              <w:jc w:val="both"/>
            </w:pPr>
            <w:r>
              <w:rPr>
                <w:sz w:val="19"/>
              </w:rPr>
              <w:t>二、项目环境影响评价咨询和报批服务</w:t>
            </w:r>
          </w:p>
          <w:p>
            <w:pPr>
              <w:ind w:firstLine="376"/>
              <w:jc w:val="both"/>
            </w:pPr>
            <w:r>
              <w:rPr>
                <w:sz w:val="19"/>
              </w:rPr>
              <w:t>提供项目各阶段环评咨询服务，完成对环评报告书的专家论证、部门审查及申报等工作。</w:t>
            </w:r>
          </w:p>
          <w:p>
            <w:pPr>
              <w:ind w:firstLine="564"/>
              <w:jc w:val="both"/>
            </w:pPr>
            <w:r>
              <w:rPr>
                <w:sz w:val="19"/>
              </w:rPr>
              <w:t>1.</w:t>
            </w:r>
            <w:r>
              <w:rPr>
                <w:sz w:val="19"/>
              </w:rPr>
              <w:t>前期规划阶段：做为环保顾问单位，积极协助企业开展镇街、当地环保分局、市生态环境局的沟通协调工作，充分征求镇街和生态环境主管部门意见，配合做好生物安全三级实验室建设运行审批的环境评估工作；</w:t>
            </w:r>
          </w:p>
          <w:p>
            <w:pPr>
              <w:ind w:firstLine="564"/>
              <w:jc w:val="both"/>
            </w:pPr>
            <w:r>
              <w:rPr>
                <w:sz w:val="19"/>
              </w:rPr>
              <w:t>2.</w:t>
            </w:r>
            <w:r>
              <w:rPr>
                <w:sz w:val="19"/>
              </w:rPr>
              <w:t>可研阶段：提供可行性研究报告的环境保护措施章节的内容编制与咨询；</w:t>
            </w:r>
          </w:p>
          <w:p>
            <w:pPr>
              <w:ind w:firstLine="564"/>
              <w:jc w:val="both"/>
            </w:pPr>
            <w:r>
              <w:rPr>
                <w:sz w:val="19"/>
              </w:rPr>
              <w:t>3.</w:t>
            </w:r>
            <w:r>
              <w:rPr>
                <w:sz w:val="19"/>
              </w:rPr>
              <w:t>立项申请阶段：协助我方与生态环境主管部门的沟通，为我方提供专业并具有建设性的意见，同时协助我方取得生态环境主管部门的意见；</w:t>
            </w:r>
          </w:p>
          <w:p>
            <w:pPr>
              <w:ind w:firstLine="564"/>
              <w:jc w:val="both"/>
            </w:pPr>
            <w:r>
              <w:rPr>
                <w:sz w:val="19"/>
              </w:rPr>
              <w:t>4.</w:t>
            </w:r>
            <w:r>
              <w:rPr>
                <w:sz w:val="19"/>
              </w:rPr>
              <w:t>工程设计阶段：参与设计、与设计院、环保工程设计公司进行同时设计，为环境影响处理设施以及总体布局的设计提供环境相关的思路和专业意见；</w:t>
            </w:r>
          </w:p>
          <w:p>
            <w:pPr>
              <w:ind w:firstLine="564"/>
              <w:jc w:val="both"/>
            </w:pPr>
            <w:r>
              <w:rPr>
                <w:sz w:val="19"/>
              </w:rPr>
              <w:t>5.</w:t>
            </w:r>
            <w:r>
              <w:rPr>
                <w:sz w:val="19"/>
              </w:rPr>
              <w:t>工程阶段：收集评价资料，主持公众参与，编写报告后组织专家论证，审批和跟进修改，取得环评批复；</w:t>
            </w:r>
          </w:p>
          <w:p>
            <w:r>
              <w:rPr>
                <w:sz w:val="19"/>
              </w:rPr>
              <w:t xml:space="preserve">     6.</w:t>
            </w:r>
            <w:r>
              <w:rPr>
                <w:sz w:val="19"/>
              </w:rPr>
              <w:t>竣工验收阶段：协助我方取得排污许可证并组织召开自主验收会议，取得环境保护措施竣工验收意见。</w:t>
            </w:r>
          </w:p>
        </w:tc>
      </w:tr>
      <w:tr>
        <w:tc>
          <w:tcPr>
            <w:tcW w:type="dxa" w:w="2076"/>
          </w:tcPr>
          <w:p/>
        </w:tc>
        <w:tc>
          <w:tcPr>
            <w:tcW w:type="dxa" w:w="415"/>
          </w:tcPr>
          <w:p>
            <w:r>
              <w:rPr/>
              <w:t>3</w:t>
            </w:r>
          </w:p>
        </w:tc>
        <w:tc>
          <w:tcPr>
            <w:tcW w:type="dxa" w:w="5814"/>
          </w:tcPr>
          <w:p>
            <w:pPr>
              <w:jc w:val="both"/>
            </w:pPr>
            <w:r>
              <w:rPr>
                <w:sz w:val="19"/>
              </w:rPr>
              <w:t>三、项目环境现状监测</w:t>
            </w:r>
          </w:p>
          <w:p>
            <w:pPr>
              <w:jc w:val="both"/>
            </w:pPr>
            <w:r>
              <w:rPr>
                <w:sz w:val="19"/>
              </w:rPr>
              <w:t>委托第三方公司对项目所在地环境进行监测。包括但不限于对地表水、地下水、土壤、环境空气、声环境等进行环境质量现状监测。内容如下：</w:t>
            </w:r>
          </w:p>
          <w:tbl>
            <w:tblGrid>
              <w:gridCol w:w="409"/>
              <w:gridCol w:w="4298"/>
              <w:gridCol w:w="550"/>
              <w:gridCol w:w="339"/>
            </w:tblGrid>
            <w:tr>
              <w:tc>
                <w:tcPr>
                  <w:tcW w:type="dxa" w:w="409"/>
                  <w:tcBorders>
                    <w:top w:val="single" w:color="000000" w:sz="4"/>
                    <w:left w:val="single" w:color="000000" w:sz="4"/>
                    <w:bottom w:val="single" w:color="000000" w:sz="4"/>
                    <w:right w:val="single" w:color="000000" w:sz="4"/>
                  </w:tcBorders>
                  <w:shd w:fill="FFFFFF"/>
                </w:tcPr>
                <w:p>
                  <w:pPr>
                    <w:jc w:val="center"/>
                  </w:pPr>
                  <w:r>
                    <w:rPr>
                      <w:b/>
                      <w:color w:val="000000"/>
                      <w:sz w:val="19"/>
                    </w:rPr>
                    <w:t>序号</w:t>
                  </w:r>
                </w:p>
              </w:tc>
              <w:tc>
                <w:tcPr>
                  <w:tcW w:type="dxa" w:w="4298"/>
                  <w:tcBorders>
                    <w:top w:val="single" w:color="000000" w:sz="4"/>
                    <w:left w:val="none" w:color="000000" w:sz="4"/>
                    <w:bottom w:val="single" w:color="000000" w:sz="4"/>
                    <w:right w:val="single" w:color="000000" w:sz="4"/>
                  </w:tcBorders>
                  <w:shd w:fill="FFFFFF"/>
                </w:tcPr>
                <w:p>
                  <w:pPr>
                    <w:ind w:firstLine="381"/>
                    <w:jc w:val="center"/>
                  </w:pPr>
                  <w:r>
                    <w:rPr>
                      <w:b/>
                      <w:color w:val="000000"/>
                      <w:sz w:val="19"/>
                    </w:rPr>
                    <w:t>监测要素及因子</w:t>
                  </w:r>
                </w:p>
              </w:tc>
              <w:tc>
                <w:tcPr>
                  <w:tcW w:type="dxa" w:w="550"/>
                  <w:tcBorders>
                    <w:top w:val="single" w:color="000000" w:sz="4"/>
                    <w:left w:val="none" w:color="000000" w:sz="4"/>
                    <w:bottom w:val="single" w:color="000000" w:sz="4"/>
                    <w:right w:val="single" w:color="000000" w:sz="4"/>
                  </w:tcBorders>
                  <w:shd w:fill="FFFFFF"/>
                </w:tcPr>
                <w:p>
                  <w:pPr>
                    <w:jc w:val="center"/>
                  </w:pPr>
                  <w:r>
                    <w:rPr>
                      <w:b/>
                      <w:color w:val="000000"/>
                      <w:sz w:val="19"/>
                    </w:rPr>
                    <w:t>点数</w:t>
                  </w:r>
                </w:p>
              </w:tc>
              <w:tc>
                <w:tcPr>
                  <w:tcW w:type="dxa" w:w="339"/>
                  <w:tcBorders>
                    <w:top w:val="single" w:color="000000" w:sz="4"/>
                    <w:left w:val="none" w:color="000000" w:sz="4"/>
                    <w:bottom w:val="single" w:color="000000" w:sz="4"/>
                    <w:right w:val="single" w:color="000000" w:sz="4"/>
                  </w:tcBorders>
                  <w:shd w:fill="FFFFFF"/>
                </w:tcPr>
                <w:p>
                  <w:pPr>
                    <w:jc w:val="center"/>
                  </w:pPr>
                  <w:r>
                    <w:rPr>
                      <w:b/>
                      <w:color w:val="000000"/>
                      <w:sz w:val="19"/>
                    </w:rPr>
                    <w:t>监测次数</w:t>
                  </w:r>
                </w:p>
              </w:tc>
            </w:tr>
            <w:tr>
              <w:tc>
                <w:tcPr>
                  <w:tcW w:type="dxa" w:w="409"/>
                  <w:tcBorders>
                    <w:top w:val="none" w:color="000000" w:sz="4"/>
                    <w:left w:val="single" w:color="000000" w:sz="4"/>
                    <w:bottom w:val="single" w:color="000000" w:sz="4"/>
                    <w:right w:val="single" w:color="000000" w:sz="4"/>
                  </w:tcBorders>
                  <w:shd w:fill="FFFFFF"/>
                </w:tcPr>
                <w:p>
                  <w:pPr>
                    <w:jc w:val="center"/>
                  </w:pPr>
                  <w:r>
                    <w:rPr>
                      <w:color w:val="000000"/>
                      <w:sz w:val="19"/>
                    </w:rPr>
                    <w:t>大气环境质量</w:t>
                  </w:r>
                  <w:r>
                    <w:br/>
                  </w:r>
                  <w:r>
                    <w:rPr>
                      <w:color w:val="000000"/>
                      <w:sz w:val="19"/>
                    </w:rPr>
                    <w:t>现状监测</w:t>
                  </w:r>
                </w:p>
              </w:tc>
              <w:tc>
                <w:tcPr>
                  <w:tcW w:type="dxa" w:w="4298"/>
                  <w:tcBorders>
                    <w:top w:val="none" w:color="000000" w:sz="4"/>
                    <w:left w:val="none" w:color="000000" w:sz="4"/>
                    <w:bottom w:val="single" w:color="000000" w:sz="4"/>
                    <w:right w:val="single" w:color="000000" w:sz="4"/>
                  </w:tcBorders>
                  <w:shd w:fill="FFFFFF"/>
                </w:tcPr>
                <w:p>
                  <w:r>
                    <w:rPr>
                      <w:color w:val="000000"/>
                      <w:sz w:val="19"/>
                    </w:rPr>
                    <w:t>TVOC（8小时平均）、氨（1小时平均）、臭气浓度（1次）、硫化氢（1小时平均）、TSP（24小时平均）、铅及其化合物、汞及其化合物、二噁英</w:t>
                  </w:r>
                </w:p>
              </w:tc>
              <w:tc>
                <w:tcPr>
                  <w:tcW w:type="dxa" w:w="550"/>
                  <w:tcBorders>
                    <w:top w:val="none" w:color="000000" w:sz="4"/>
                    <w:left w:val="none" w:color="000000" w:sz="4"/>
                    <w:bottom w:val="single" w:color="000000" w:sz="4"/>
                    <w:right w:val="single" w:color="000000" w:sz="4"/>
                  </w:tcBorders>
                  <w:shd w:fill="FFFFFF"/>
                </w:tcPr>
                <w:p>
                  <w:pPr>
                    <w:jc w:val="center"/>
                  </w:pPr>
                  <w:r>
                    <w:rPr>
                      <w:color w:val="000000"/>
                      <w:sz w:val="19"/>
                    </w:rPr>
                    <w:t>2</w:t>
                  </w:r>
                </w:p>
              </w:tc>
              <w:tc>
                <w:tcPr>
                  <w:tcW w:type="dxa" w:w="339"/>
                  <w:tcBorders>
                    <w:top w:val="none" w:color="000000" w:sz="4"/>
                    <w:left w:val="none" w:color="000000" w:sz="4"/>
                    <w:bottom w:val="single" w:color="000000" w:sz="4"/>
                    <w:right w:val="single" w:color="000000" w:sz="4"/>
                  </w:tcBorders>
                  <w:shd w:fill="FFFFFF"/>
                </w:tcPr>
                <w:p>
                  <w:pPr>
                    <w:jc w:val="center"/>
                  </w:pPr>
                  <w:r>
                    <w:rPr>
                      <w:color w:val="000000"/>
                      <w:sz w:val="19"/>
                    </w:rPr>
                    <w:t>7天</w:t>
                  </w:r>
                </w:p>
              </w:tc>
            </w:tr>
            <w:tr>
              <w:tc>
                <w:tcPr>
                  <w:tcW w:type="dxa" w:w="409"/>
                  <w:tcBorders>
                    <w:top w:val="none" w:color="000000" w:sz="4"/>
                    <w:left w:val="single" w:color="000000" w:sz="4"/>
                    <w:bottom w:val="single" w:color="000000" w:sz="4"/>
                    <w:right w:val="single" w:color="000000" w:sz="4"/>
                  </w:tcBorders>
                  <w:shd w:fill="FFFFFF"/>
                </w:tcPr>
                <w:p>
                  <w:pPr>
                    <w:jc w:val="center"/>
                  </w:pPr>
                  <w:r>
                    <w:rPr>
                      <w:color w:val="000000"/>
                      <w:sz w:val="19"/>
                    </w:rPr>
                    <w:t>土壤现状监测</w:t>
                  </w:r>
                </w:p>
              </w:tc>
              <w:tc>
                <w:tcPr>
                  <w:tcW w:type="dxa" w:w="4298"/>
                  <w:tcBorders>
                    <w:top w:val="none" w:color="000000" w:sz="4"/>
                    <w:left w:val="none" w:color="000000" w:sz="4"/>
                    <w:bottom w:val="single" w:color="000000" w:sz="4"/>
                    <w:right w:val="single" w:color="000000" w:sz="4"/>
                  </w:tcBorders>
                  <w:shd w:fill="FFFFFF"/>
                </w:tcPr>
                <w:p>
                  <w:r>
                    <w:rPr>
                      <w:color w:val="000000"/>
                      <w:sz w:val="19"/>
                    </w:rPr>
                    <w:t>土壤理化性质（ 物理性质：颜色、结构、质地、砂砾含量、其他异物理化特性：pH值、阳离子交换量、土壤容重、饱和导水率、孔隙度、氧化还原电位、水溶性盐总量）</w:t>
                  </w:r>
                </w:p>
              </w:tc>
              <w:tc>
                <w:tcPr>
                  <w:tcW w:type="dxa" w:w="550"/>
                  <w:tcBorders>
                    <w:top w:val="none" w:color="000000" w:sz="4"/>
                    <w:left w:val="none" w:color="000000" w:sz="4"/>
                    <w:bottom w:val="single" w:color="000000" w:sz="4"/>
                    <w:right w:val="single" w:color="000000" w:sz="4"/>
                  </w:tcBorders>
                  <w:shd w:fill="FFFFFF"/>
                </w:tcPr>
                <w:p>
                  <w:pPr>
                    <w:jc w:val="center"/>
                  </w:pPr>
                  <w:r>
                    <w:rPr>
                      <w:color w:val="000000"/>
                      <w:sz w:val="19"/>
                    </w:rPr>
                    <w:t>6</w:t>
                  </w:r>
                </w:p>
              </w:tc>
              <w:tc>
                <w:tcPr>
                  <w:tcW w:type="dxa" w:w="339"/>
                  <w:tcBorders>
                    <w:top w:val="none" w:color="000000" w:sz="4"/>
                    <w:left w:val="none" w:color="000000" w:sz="4"/>
                    <w:bottom w:val="single" w:color="000000" w:sz="4"/>
                    <w:right w:val="single" w:color="000000" w:sz="4"/>
                  </w:tcBorders>
                  <w:shd w:fill="FFFFFF"/>
                </w:tcPr>
                <w:p>
                  <w:pPr>
                    <w:jc w:val="center"/>
                  </w:pPr>
                  <w:r>
                    <w:rPr>
                      <w:color w:val="000000"/>
                      <w:sz w:val="19"/>
                    </w:rPr>
                    <w:t>1</w:t>
                  </w:r>
                </w:p>
              </w:tc>
            </w:tr>
            <w:tr>
              <w:tc>
                <w:tcPr>
                  <w:tcW w:type="dxa" w:w="409"/>
                  <w:vMerge w:val="restart"/>
                  <w:tcBorders>
                    <w:top w:val="none" w:color="000000" w:sz="4"/>
                    <w:left w:val="single" w:color="000000" w:sz="4"/>
                    <w:bottom w:val="single" w:color="000000" w:sz="4"/>
                    <w:right w:val="single" w:color="000000" w:sz="4"/>
                  </w:tcBorders>
                  <w:shd w:fill="FFFFFF"/>
                </w:tcPr>
                <w:p>
                  <w:pPr>
                    <w:jc w:val="center"/>
                  </w:pPr>
                  <w:r>
                    <w:rPr>
                      <w:sz w:val="22"/>
                    </w:rPr>
                    <w:t>　</w:t>
                  </w:r>
                </w:p>
              </w:tc>
              <w:tc>
                <w:tcPr>
                  <w:tcW w:type="dxa" w:w="4298"/>
                  <w:tcBorders>
                    <w:top w:val="none" w:color="000000" w:sz="4"/>
                    <w:left w:val="none" w:color="000000" w:sz="4"/>
                    <w:bottom w:val="single" w:color="000000" w:sz="4"/>
                    <w:right w:val="single" w:color="000000" w:sz="4"/>
                  </w:tcBorders>
                  <w:shd w:fill="FFFFFF"/>
                </w:tcPr>
                <w:p>
                  <w:r>
                    <w:rPr>
                      <w:color w:val="000000"/>
                      <w:sz w:val="19"/>
                    </w:rPr>
                    <w:t>基本因子（38项）：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芘、苯并[a]蒽、苯并[b]荧蒽、苯并[k]荧蒽、䓛、二苯并[a,h]蒽、茚并[1,2,3-cd]芘、萘</w:t>
                  </w:r>
                </w:p>
              </w:tc>
              <w:tc>
                <w:tcPr>
                  <w:tcW w:type="dxa" w:w="550"/>
                  <w:vMerge w:val="restart"/>
                  <w:tcBorders>
                    <w:top w:val="none" w:color="000000" w:sz="4"/>
                    <w:left w:val="none" w:color="000000" w:sz="4"/>
                    <w:bottom w:val="single" w:color="000000" w:sz="4"/>
                    <w:right w:val="single" w:color="000000" w:sz="4"/>
                  </w:tcBorders>
                  <w:shd w:fill="FFFFFF"/>
                </w:tcPr>
                <w:p>
                  <w:pPr>
                    <w:jc w:val="center"/>
                  </w:pPr>
                  <w:r>
                    <w:rPr>
                      <w:color w:val="000000"/>
                      <w:sz w:val="19"/>
                    </w:rPr>
                    <w:t>6</w:t>
                  </w:r>
                </w:p>
              </w:tc>
              <w:tc>
                <w:tcPr>
                  <w:tcW w:type="dxa" w:w="339"/>
                  <w:vMerge w:val="restart"/>
                  <w:tcBorders>
                    <w:top w:val="none" w:color="000000" w:sz="4"/>
                    <w:left w:val="none" w:color="000000" w:sz="4"/>
                    <w:bottom w:val="single" w:color="000000" w:sz="4"/>
                    <w:right w:val="single" w:color="000000" w:sz="4"/>
                  </w:tcBorders>
                  <w:shd w:fill="FFFFFF"/>
                </w:tcPr>
                <w:p>
                  <w:pPr>
                    <w:jc w:val="center"/>
                  </w:pPr>
                  <w:r>
                    <w:rPr>
                      <w:color w:val="000000"/>
                      <w:sz w:val="19"/>
                    </w:rPr>
                    <w:t>1</w:t>
                  </w:r>
                </w:p>
              </w:tc>
            </w:tr>
            <w:tr>
              <w:tc>
                <w:tcPr>
                  <w:tcW w:type="dxa" w:w="409"/>
                  <w:vMerge/>
                  <w:tcBorders>
                    <w:top w:val="none" w:color="000000" w:sz="4"/>
                    <w:left w:val="single" w:color="000000" w:sz="4"/>
                    <w:bottom w:val="single" w:color="000000" w:sz="4"/>
                    <w:right w:val="single" w:color="000000" w:sz="4"/>
                  </w:tcBorders>
                </w:tcPr>
                <w:p/>
              </w:tc>
              <w:tc>
                <w:tcPr>
                  <w:tcW w:type="dxa" w:w="4298"/>
                  <w:tcBorders>
                    <w:top w:val="none" w:color="000000" w:sz="4"/>
                    <w:left w:val="none" w:color="000000" w:sz="4"/>
                    <w:bottom w:val="single" w:color="000000" w:sz="4"/>
                    <w:right w:val="single" w:color="000000" w:sz="4"/>
                  </w:tcBorders>
                  <w:shd w:fill="FFFFFF"/>
                </w:tcPr>
                <w:p>
                  <w:r>
                    <w:rPr>
                      <w:color w:val="000000"/>
                      <w:sz w:val="19"/>
                    </w:rPr>
                    <w:t>特征因子：砷、镉、六价铬、铜、汞、铅、镍、锌、石油烃</w:t>
                  </w:r>
                </w:p>
              </w:tc>
            </w:tr>
            <w:tr>
              <w:tc>
                <w:tcPr>
                  <w:tcW w:type="dxa" w:w="409"/>
                  <w:tcBorders>
                    <w:top w:val="none" w:color="000000" w:sz="4"/>
                    <w:left w:val="single" w:color="000000" w:sz="4"/>
                    <w:bottom w:val="single" w:color="000000" w:sz="4"/>
                    <w:right w:val="single" w:color="000000" w:sz="4"/>
                  </w:tcBorders>
                  <w:shd w:fill="FFFFFF"/>
                </w:tcPr>
                <w:p>
                  <w:pPr>
                    <w:jc w:val="center"/>
                  </w:pPr>
                  <w:r>
                    <w:rPr>
                      <w:color w:val="000000"/>
                      <w:sz w:val="19"/>
                    </w:rPr>
                    <w:t>地下水现状监测</w:t>
                  </w:r>
                </w:p>
              </w:tc>
              <w:tc>
                <w:tcPr>
                  <w:tcW w:type="dxa" w:w="4298"/>
                  <w:tcBorders>
                    <w:top w:val="none" w:color="000000" w:sz="4"/>
                    <w:left w:val="none" w:color="000000" w:sz="4"/>
                    <w:bottom w:val="single" w:color="000000" w:sz="4"/>
                    <w:right w:val="single" w:color="000000" w:sz="4"/>
                  </w:tcBorders>
                  <w:shd w:fill="FFFFFF"/>
                </w:tcPr>
                <w:p>
                  <w:r>
                    <w:rPr>
                      <w:color w:val="000000"/>
                      <w:sz w:val="19"/>
                    </w:rPr>
                    <w:t>水位监测：地下水监测共布设10个点位，厂区上游布设2个点位，厂区位置布设1个点位，厂区两侧各布设1个点位，厂区下游布设5个点位。</w:t>
                  </w:r>
                </w:p>
              </w:tc>
              <w:tc>
                <w:tcPr>
                  <w:tcW w:type="dxa" w:w="550"/>
                  <w:tcBorders>
                    <w:top w:val="none" w:color="000000" w:sz="4"/>
                    <w:left w:val="none" w:color="000000" w:sz="4"/>
                    <w:bottom w:val="single" w:color="000000" w:sz="4"/>
                    <w:right w:val="single" w:color="000000" w:sz="4"/>
                  </w:tcBorders>
                  <w:shd w:fill="FFFFFF"/>
                </w:tcPr>
                <w:p>
                  <w:pPr>
                    <w:jc w:val="center"/>
                  </w:pPr>
                  <w:r>
                    <w:rPr>
                      <w:color w:val="000000"/>
                      <w:sz w:val="19"/>
                    </w:rPr>
                    <w:t>10</w:t>
                  </w:r>
                </w:p>
              </w:tc>
              <w:tc>
                <w:tcPr>
                  <w:tcW w:type="dxa" w:w="339"/>
                  <w:tcBorders>
                    <w:top w:val="none" w:color="000000" w:sz="4"/>
                    <w:left w:val="none" w:color="000000" w:sz="4"/>
                    <w:bottom w:val="single" w:color="000000" w:sz="4"/>
                    <w:right w:val="single" w:color="000000" w:sz="4"/>
                  </w:tcBorders>
                  <w:shd w:fill="FFFFFF"/>
                </w:tcPr>
                <w:p>
                  <w:pPr>
                    <w:jc w:val="center"/>
                  </w:pPr>
                  <w:r>
                    <w:rPr>
                      <w:color w:val="000000"/>
                      <w:sz w:val="19"/>
                    </w:rPr>
                    <w:t>1</w:t>
                  </w:r>
                </w:p>
              </w:tc>
            </w:tr>
            <w:tr>
              <w:tc>
                <w:tcPr>
                  <w:tcW w:type="dxa" w:w="409"/>
                  <w:tcBorders>
                    <w:top w:val="none" w:color="000000" w:sz="4"/>
                    <w:left w:val="single" w:color="000000" w:sz="4"/>
                    <w:bottom w:val="single" w:color="000000" w:sz="4"/>
                    <w:right w:val="single" w:color="000000" w:sz="4"/>
                  </w:tcBorders>
                  <w:shd w:fill="FFFFFF"/>
                </w:tcPr>
                <w:p>
                  <w:pPr>
                    <w:jc w:val="center"/>
                  </w:pPr>
                  <w:r>
                    <w:rPr>
                      <w:sz w:val="22"/>
                    </w:rPr>
                    <w:t>　</w:t>
                  </w:r>
                </w:p>
              </w:tc>
              <w:tc>
                <w:tcPr>
                  <w:tcW w:type="dxa" w:w="4298"/>
                  <w:tcBorders>
                    <w:top w:val="none" w:color="000000" w:sz="4"/>
                    <w:left w:val="none" w:color="000000" w:sz="4"/>
                    <w:bottom w:val="single" w:color="000000" w:sz="4"/>
                    <w:right w:val="single" w:color="000000" w:sz="4"/>
                  </w:tcBorders>
                  <w:shd w:fill="FFFFFF"/>
                </w:tcPr>
                <w:p>
                  <w:r>
                    <w:rPr>
                      <w:color w:val="000000"/>
                      <w:sz w:val="19"/>
                    </w:rPr>
                    <w:t>水质监测：地下水（K+、Na+、Ca2+、Mg2+、CO32-、HCO3-、Cl-、SO42-、pH、氨氮、硝酸盐、亚硝酸盐、氰化物、总硬度、铁、锰、溶解性总固体、高锰酸盐指数、硫酸盐、氯化物、总大肠菌群、菌落总数、水位、锌、铜、铬、镉、镍、铝、挥发性酚类、硫化物、砷、汞、铅、苯、甲苯）</w:t>
                  </w:r>
                </w:p>
              </w:tc>
              <w:tc>
                <w:tcPr>
                  <w:tcW w:type="dxa" w:w="550"/>
                  <w:tcBorders>
                    <w:top w:val="none" w:color="000000" w:sz="4"/>
                    <w:left w:val="none" w:color="000000" w:sz="4"/>
                    <w:bottom w:val="single" w:color="000000" w:sz="4"/>
                    <w:right w:val="single" w:color="000000" w:sz="4"/>
                  </w:tcBorders>
                  <w:shd w:fill="FFFFFF"/>
                </w:tcPr>
                <w:p>
                  <w:pPr>
                    <w:jc w:val="center"/>
                  </w:pPr>
                  <w:r>
                    <w:rPr>
                      <w:color w:val="000000"/>
                      <w:sz w:val="19"/>
                    </w:rPr>
                    <w:t>5</w:t>
                  </w:r>
                </w:p>
              </w:tc>
              <w:tc>
                <w:tcPr>
                  <w:tcW w:type="dxa" w:w="339"/>
                  <w:tcBorders>
                    <w:top w:val="none" w:color="000000" w:sz="4"/>
                    <w:left w:val="none" w:color="000000" w:sz="4"/>
                    <w:bottom w:val="single" w:color="000000" w:sz="4"/>
                    <w:right w:val="single" w:color="000000" w:sz="4"/>
                  </w:tcBorders>
                  <w:shd w:fill="FFFFFF"/>
                </w:tcPr>
                <w:p>
                  <w:pPr>
                    <w:jc w:val="center"/>
                  </w:pPr>
                  <w:r>
                    <w:rPr>
                      <w:color w:val="000000"/>
                      <w:sz w:val="19"/>
                    </w:rPr>
                    <w:t>1</w:t>
                  </w:r>
                </w:p>
              </w:tc>
            </w:tr>
            <w:tr>
              <w:tc>
                <w:tcPr>
                  <w:tcW w:type="dxa" w:w="409"/>
                  <w:tcBorders>
                    <w:top w:val="none" w:color="000000" w:sz="4"/>
                    <w:left w:val="single" w:color="000000" w:sz="4"/>
                    <w:bottom w:val="single" w:color="000000" w:sz="4"/>
                    <w:right w:val="single" w:color="000000" w:sz="4"/>
                  </w:tcBorders>
                  <w:shd w:fill="FFFFFF"/>
                </w:tcPr>
                <w:p>
                  <w:pPr>
                    <w:jc w:val="center"/>
                  </w:pPr>
                  <w:r>
                    <w:rPr>
                      <w:color w:val="000000"/>
                      <w:sz w:val="19"/>
                    </w:rPr>
                    <w:t>地表水现状监测</w:t>
                  </w:r>
                </w:p>
              </w:tc>
              <w:tc>
                <w:tcPr>
                  <w:tcW w:type="dxa" w:w="4298"/>
                  <w:tcBorders>
                    <w:top w:val="none" w:color="000000" w:sz="4"/>
                    <w:left w:val="none" w:color="000000" w:sz="4"/>
                    <w:bottom w:val="single" w:color="000000" w:sz="4"/>
                    <w:right w:val="single" w:color="000000" w:sz="4"/>
                  </w:tcBorders>
                  <w:shd w:fill="FFFFFF"/>
                </w:tcPr>
                <w:p>
                  <w:r>
                    <w:rPr>
                      <w:color w:val="000000"/>
                      <w:sz w:val="19"/>
                    </w:rPr>
                    <w:t>水温、pH、SS、DO、CODCr、BOD5、氨氮、总氮、总磷、石油类、高锰酸盐指数、氰化物、六价铬、铜、锌、铅、硫化物、挥发酚、色度、阴离子表面活性剂、粪大肠菌群、氯化物、氟化物等23项水质指标。</w:t>
                  </w:r>
                </w:p>
              </w:tc>
              <w:tc>
                <w:tcPr>
                  <w:tcW w:type="dxa" w:w="550"/>
                  <w:tcBorders>
                    <w:top w:val="none" w:color="000000" w:sz="4"/>
                    <w:left w:val="none" w:color="000000" w:sz="4"/>
                    <w:bottom w:val="single" w:color="000000" w:sz="4"/>
                    <w:right w:val="single" w:color="000000" w:sz="4"/>
                  </w:tcBorders>
                  <w:shd w:fill="FFFFFF"/>
                </w:tcPr>
                <w:p>
                  <w:pPr>
                    <w:jc w:val="center"/>
                  </w:pPr>
                  <w:r>
                    <w:rPr>
                      <w:color w:val="000000"/>
                      <w:sz w:val="19"/>
                    </w:rPr>
                    <w:t>6</w:t>
                  </w:r>
                </w:p>
              </w:tc>
              <w:tc>
                <w:tcPr>
                  <w:tcW w:type="dxa" w:w="339"/>
                  <w:tcBorders>
                    <w:top w:val="none" w:color="000000" w:sz="4"/>
                    <w:left w:val="none" w:color="000000" w:sz="4"/>
                    <w:bottom w:val="single" w:color="000000" w:sz="4"/>
                    <w:right w:val="single" w:color="000000" w:sz="4"/>
                  </w:tcBorders>
                  <w:shd w:fill="FFFFFF"/>
                </w:tcPr>
                <w:p>
                  <w:pPr>
                    <w:jc w:val="center"/>
                  </w:pPr>
                  <w:r>
                    <w:rPr>
                      <w:color w:val="000000"/>
                      <w:sz w:val="19"/>
                    </w:rPr>
                    <w:t>3</w:t>
                  </w:r>
                </w:p>
              </w:tc>
            </w:tr>
            <w:tr>
              <w:tc>
                <w:tcPr>
                  <w:tcW w:type="dxa" w:w="409"/>
                  <w:tcBorders>
                    <w:top w:val="none" w:color="000000" w:sz="4"/>
                    <w:left w:val="single" w:color="000000" w:sz="4"/>
                    <w:bottom w:val="single" w:color="000000" w:sz="4"/>
                    <w:right w:val="single" w:color="000000" w:sz="4"/>
                  </w:tcBorders>
                  <w:shd w:fill="FFFFFF"/>
                </w:tcPr>
                <w:p>
                  <w:pPr>
                    <w:jc w:val="center"/>
                  </w:pPr>
                  <w:r>
                    <w:rPr>
                      <w:color w:val="000000"/>
                      <w:sz w:val="19"/>
                    </w:rPr>
                    <w:t>声环境现状监测</w:t>
                  </w:r>
                </w:p>
              </w:tc>
              <w:tc>
                <w:tcPr>
                  <w:tcW w:type="dxa" w:w="4298"/>
                  <w:tcBorders>
                    <w:top w:val="none" w:color="000000" w:sz="4"/>
                    <w:left w:val="none" w:color="000000" w:sz="4"/>
                    <w:bottom w:val="single" w:color="000000" w:sz="4"/>
                    <w:right w:val="single" w:color="000000" w:sz="4"/>
                  </w:tcBorders>
                  <w:shd w:fill="FFFFFF"/>
                </w:tcPr>
                <w:p>
                  <w:pPr>
                    <w:jc w:val="center"/>
                  </w:pPr>
                  <w:r>
                    <w:rPr>
                      <w:color w:val="000000"/>
                      <w:sz w:val="19"/>
                    </w:rPr>
                    <w:t>项目边界共布设4个噪声监测点</w:t>
                  </w:r>
                </w:p>
              </w:tc>
              <w:tc>
                <w:tcPr>
                  <w:tcW w:type="dxa" w:w="550"/>
                  <w:tcBorders>
                    <w:top w:val="none" w:color="000000" w:sz="4"/>
                    <w:left w:val="none" w:color="000000" w:sz="4"/>
                    <w:bottom w:val="single" w:color="000000" w:sz="4"/>
                    <w:right w:val="single" w:color="000000" w:sz="4"/>
                  </w:tcBorders>
                  <w:shd w:fill="FFFFFF"/>
                </w:tcPr>
                <w:p>
                  <w:pPr>
                    <w:jc w:val="center"/>
                  </w:pPr>
                  <w:r>
                    <w:rPr>
                      <w:color w:val="000000"/>
                      <w:sz w:val="19"/>
                    </w:rPr>
                    <w:t>4</w:t>
                  </w:r>
                </w:p>
              </w:tc>
              <w:tc>
                <w:tcPr>
                  <w:tcW w:type="dxa" w:w="339"/>
                  <w:tcBorders>
                    <w:top w:val="none" w:color="000000" w:sz="4"/>
                    <w:left w:val="none" w:color="000000" w:sz="4"/>
                    <w:bottom w:val="single" w:color="000000" w:sz="4"/>
                    <w:right w:val="single" w:color="000000" w:sz="4"/>
                  </w:tcBorders>
                  <w:shd w:fill="FFFFFF"/>
                </w:tcPr>
                <w:p>
                  <w:pPr>
                    <w:jc w:val="center"/>
                  </w:pPr>
                  <w:r>
                    <w:rPr>
                      <w:color w:val="000000"/>
                      <w:sz w:val="19"/>
                    </w:rPr>
                    <w:t>2</w:t>
                  </w:r>
                </w:p>
              </w:tc>
            </w:tr>
            <w:tr>
              <w:tc>
                <w:tcPr>
                  <w:tcW w:type="dxa" w:w="409"/>
                  <w:vMerge w:val="restart"/>
                  <w:tcBorders>
                    <w:top w:val="none" w:color="000000" w:sz="4"/>
                    <w:left w:val="single" w:color="000000" w:sz="4"/>
                    <w:bottom w:val="none" w:color="000000" w:sz="4"/>
                    <w:right w:val="single" w:color="000000" w:sz="4"/>
                  </w:tcBorders>
                  <w:shd w:fill="FFFFFF"/>
                </w:tcPr>
                <w:p>
                  <w:pPr>
                    <w:jc w:val="center"/>
                  </w:pPr>
                  <w:r>
                    <w:rPr>
                      <w:color w:val="000000"/>
                      <w:sz w:val="19"/>
                    </w:rPr>
                    <w:t>其他</w:t>
                  </w:r>
                </w:p>
              </w:tc>
              <w:tc>
                <w:tcPr>
                  <w:tcW w:type="dxa" w:w="4298"/>
                  <w:tcBorders>
                    <w:top w:val="none" w:color="000000" w:sz="4"/>
                    <w:left w:val="none" w:color="000000" w:sz="4"/>
                    <w:bottom w:val="single" w:color="000000" w:sz="4"/>
                    <w:right w:val="single" w:color="000000" w:sz="4"/>
                  </w:tcBorders>
                  <w:shd w:fill="FFFFFF"/>
                </w:tcPr>
                <w:p>
                  <w:pPr>
                    <w:jc w:val="center"/>
                  </w:pPr>
                  <w:r>
                    <w:rPr>
                      <w:color w:val="000000"/>
                      <w:sz w:val="19"/>
                    </w:rPr>
                    <w:t>打井费（土井）</w:t>
                  </w:r>
                </w:p>
              </w:tc>
              <w:tc>
                <w:tcPr>
                  <w:tcW w:type="dxa" w:w="550"/>
                  <w:tcBorders>
                    <w:top w:val="none" w:color="000000" w:sz="4"/>
                    <w:left w:val="none" w:color="000000" w:sz="4"/>
                    <w:bottom w:val="single" w:color="000000" w:sz="4"/>
                    <w:right w:val="single" w:color="000000" w:sz="4"/>
                  </w:tcBorders>
                  <w:shd w:fill="FFFFFF"/>
                </w:tcPr>
                <w:p>
                  <w:r>
                    <w:rPr>
                      <w:color w:val="000000"/>
                      <w:sz w:val="19"/>
                    </w:rPr>
                    <w:t>3</w:t>
                  </w:r>
                </w:p>
              </w:tc>
              <w:tc>
                <w:tcPr>
                  <w:tcW w:type="dxa" w:w="339"/>
                  <w:tcBorders>
                    <w:top w:val="none" w:color="000000" w:sz="4"/>
                    <w:left w:val="none" w:color="000000" w:sz="4"/>
                    <w:bottom w:val="single" w:color="000000" w:sz="4"/>
                    <w:right w:val="single" w:color="000000" w:sz="4"/>
                  </w:tcBorders>
                  <w:shd w:fill="FFFFFF"/>
                </w:tcPr>
                <w:p>
                  <w:r>
                    <w:rPr>
                      <w:color w:val="000000"/>
                      <w:sz w:val="19"/>
                    </w:rPr>
                    <w:t>/</w:t>
                  </w:r>
                </w:p>
              </w:tc>
            </w:tr>
            <w:tr>
              <w:tc>
                <w:tcPr>
                  <w:tcW w:type="dxa" w:w="409"/>
                  <w:vMerge/>
                  <w:tcBorders>
                    <w:top w:val="none" w:color="000000" w:sz="4"/>
                    <w:left w:val="single" w:color="000000" w:sz="4"/>
                    <w:bottom w:val="none" w:color="000000" w:sz="4"/>
                    <w:right w:val="single" w:color="000000" w:sz="4"/>
                  </w:tcBorders>
                </w:tcPr>
                <w:p/>
              </w:tc>
              <w:tc>
                <w:tcPr>
                  <w:tcW w:type="dxa" w:w="4298"/>
                  <w:tcBorders>
                    <w:top w:val="none" w:color="000000" w:sz="4"/>
                    <w:left w:val="none" w:color="000000" w:sz="4"/>
                    <w:bottom w:val="single" w:color="000000" w:sz="4"/>
                    <w:right w:val="single" w:color="000000" w:sz="4"/>
                  </w:tcBorders>
                  <w:shd w:fill="FFFFFF"/>
                </w:tcPr>
                <w:p>
                  <w:pPr>
                    <w:jc w:val="center"/>
                  </w:pPr>
                  <w:r>
                    <w:rPr>
                      <w:color w:val="000000"/>
                      <w:sz w:val="19"/>
                    </w:rPr>
                    <w:t>打孔费（水井）</w:t>
                  </w:r>
                </w:p>
              </w:tc>
              <w:tc>
                <w:tcPr>
                  <w:tcW w:type="dxa" w:w="550"/>
                  <w:tcBorders>
                    <w:top w:val="none" w:color="000000" w:sz="4"/>
                    <w:left w:val="none" w:color="000000" w:sz="4"/>
                    <w:bottom w:val="single" w:color="000000" w:sz="4"/>
                    <w:right w:val="single" w:color="000000" w:sz="4"/>
                  </w:tcBorders>
                  <w:shd w:fill="FFFFFF"/>
                </w:tcPr>
                <w:p>
                  <w:r>
                    <w:rPr>
                      <w:color w:val="000000"/>
                      <w:sz w:val="19"/>
                    </w:rPr>
                    <w:t>10</w:t>
                  </w:r>
                </w:p>
              </w:tc>
              <w:tc>
                <w:tcPr>
                  <w:tcW w:type="dxa" w:w="339"/>
                  <w:tcBorders>
                    <w:top w:val="none" w:color="000000" w:sz="4"/>
                    <w:left w:val="none" w:color="000000" w:sz="4"/>
                    <w:bottom w:val="single" w:color="000000" w:sz="4"/>
                    <w:right w:val="single" w:color="000000" w:sz="4"/>
                  </w:tcBorders>
                  <w:shd w:fill="FFFFFF"/>
                </w:tcPr>
                <w:p>
                  <w:r>
                    <w:rPr>
                      <w:color w:val="000000"/>
                      <w:sz w:val="19"/>
                    </w:rPr>
                    <w:t>/</w:t>
                  </w:r>
                </w:p>
              </w:tc>
            </w:tr>
            <w:tr>
              <w:tc>
                <w:tcPr>
                  <w:tcW w:type="dxa" w:w="409"/>
                  <w:tcBorders>
                    <w:top w:val="none" w:color="000000" w:sz="4"/>
                    <w:left w:val="single" w:color="000000" w:sz="4"/>
                    <w:bottom w:val="none" w:color="000000" w:sz="4"/>
                    <w:right w:val="single" w:color="000000" w:sz="4"/>
                  </w:tcBorders>
                  <w:shd w:fill="FFFFFF"/>
                </w:tcPr>
                <w:p>
                  <w:pPr>
                    <w:jc w:val="center"/>
                  </w:pPr>
                </w:p>
              </w:tc>
              <w:tc>
                <w:tcPr>
                  <w:tcW w:type="dxa" w:w="4298"/>
                  <w:tcBorders>
                    <w:top w:val="none" w:color="000000" w:sz="4"/>
                    <w:left w:val="none" w:color="000000" w:sz="4"/>
                    <w:bottom w:val="single" w:color="000000" w:sz="4"/>
                    <w:right w:val="single" w:color="000000" w:sz="4"/>
                  </w:tcBorders>
                  <w:shd w:fill="FFFFFF"/>
                </w:tcPr>
                <w:p>
                  <w:pPr>
                    <w:jc w:val="center"/>
                  </w:pPr>
                  <w:r>
                    <w:rPr>
                      <w:color w:val="000000"/>
                      <w:sz w:val="19"/>
                    </w:rPr>
                    <w:t>采样人员交通费</w:t>
                  </w:r>
                </w:p>
              </w:tc>
              <w:tc>
                <w:tcPr>
                  <w:tcW w:type="dxa" w:w="550"/>
                  <w:tcBorders>
                    <w:top w:val="none" w:color="000000" w:sz="4"/>
                    <w:left w:val="none" w:color="000000" w:sz="4"/>
                    <w:bottom w:val="single" w:color="000000" w:sz="4"/>
                    <w:right w:val="single" w:color="000000" w:sz="4"/>
                  </w:tcBorders>
                  <w:shd w:fill="FFFFFF"/>
                </w:tcPr>
                <w:p>
                  <w:r>
                    <w:rPr>
                      <w:color w:val="000000"/>
                      <w:sz w:val="19"/>
                    </w:rPr>
                    <w:t>/</w:t>
                  </w:r>
                </w:p>
              </w:tc>
              <w:tc>
                <w:tcPr>
                  <w:tcW w:type="dxa" w:w="339"/>
                  <w:tcBorders>
                    <w:top w:val="none" w:color="000000" w:sz="4"/>
                    <w:left w:val="none" w:color="000000" w:sz="4"/>
                    <w:bottom w:val="single" w:color="000000" w:sz="4"/>
                    <w:right w:val="single" w:color="000000" w:sz="4"/>
                  </w:tcBorders>
                  <w:shd w:fill="FFFFFF"/>
                </w:tcPr>
                <w:p>
                  <w:r>
                    <w:rPr>
                      <w:color w:val="000000"/>
                      <w:sz w:val="19"/>
                    </w:rPr>
                    <w:t>7</w:t>
                  </w:r>
                  <w:r>
                    <w:rPr>
                      <w:color w:val="000000"/>
                      <w:sz w:val="19"/>
                    </w:rPr>
                    <w:t>天</w:t>
                  </w:r>
                </w:p>
              </w:tc>
            </w:tr>
          </w:tbl>
        </w:tc>
      </w:tr>
      <w:tr>
        <w:tc>
          <w:tcPr>
            <w:tcW w:type="dxa" w:w="2076"/>
          </w:tcPr>
          <w:p/>
        </w:tc>
        <w:tc>
          <w:tcPr>
            <w:tcW w:type="dxa" w:w="415"/>
          </w:tcPr>
          <w:p>
            <w:r>
              <w:rPr/>
              <w:t>4</w:t>
            </w:r>
          </w:p>
        </w:tc>
        <w:tc>
          <w:tcPr>
            <w:tcW w:type="dxa" w:w="5814"/>
          </w:tcPr>
          <w:p>
            <w:r>
              <w:rPr/>
              <w:t>四、</w:t>
            </w:r>
            <w:r>
              <w:rPr>
                <w:color w:val="000000"/>
                <w:sz w:val="19"/>
              </w:rPr>
              <w:t>项目验收</w:t>
            </w:r>
          </w:p>
          <w:p>
            <w:pPr>
              <w:ind w:firstLine="190"/>
            </w:pPr>
            <w:r>
              <w:rPr>
                <w:sz w:val="19"/>
              </w:rPr>
              <w:t>基本要求：</w:t>
            </w:r>
          </w:p>
          <w:p>
            <w:pPr>
              <w:ind w:firstLine="781"/>
            </w:pPr>
            <w:r>
              <w:rPr>
                <w:sz w:val="19"/>
              </w:rPr>
              <w:t>（一）取得对该项目建设的支持回函；</w:t>
            </w:r>
          </w:p>
          <w:p>
            <w:pPr>
              <w:ind w:firstLine="781"/>
            </w:pPr>
            <w:r>
              <w:rPr>
                <w:sz w:val="19"/>
              </w:rPr>
              <w:t>（二）环评报告通过审查，并获得政府部门的批准；</w:t>
            </w:r>
          </w:p>
          <w:p>
            <w:pPr>
              <w:ind w:firstLine="781"/>
            </w:pPr>
            <w:r>
              <w:rPr>
                <w:sz w:val="19"/>
              </w:rPr>
              <w:t>（三）咨询服务等得到我方认可。</w:t>
            </w:r>
          </w:p>
          <w:p>
            <w:pPr>
              <w:ind w:firstLine="781"/>
            </w:pPr>
            <w:r>
              <w:rPr>
                <w:sz w:val="19"/>
              </w:rPr>
              <w:t>具体要求</w:t>
            </w:r>
          </w:p>
          <w:p>
            <w:r>
              <w:rPr>
                <w:sz w:val="19"/>
              </w:rPr>
              <w:t>1.</w:t>
            </w:r>
            <w:r>
              <w:rPr>
                <w:sz w:val="19"/>
              </w:rPr>
              <w:t>项目环境影响评价应符合《环境影响评价技术导则》相关要求；</w:t>
            </w:r>
          </w:p>
          <w:p>
            <w:r>
              <w:rPr>
                <w:sz w:val="19"/>
              </w:rPr>
              <w:t>2.</w:t>
            </w:r>
            <w:r>
              <w:rPr>
                <w:sz w:val="19"/>
              </w:rPr>
              <w:t>项目的执行严格按国家、省、市现行的相关环境影响评价标准，包括《中华人民共和国环境保护法》、《中华人民共和国环境影响评价法》、《广东省建设项目环境保护管理条例》等法律法规要求，及建设项目环境影响评价的基本原则、内容、方法和要求，保证建设项目环境影响评价质量；</w:t>
            </w:r>
          </w:p>
          <w:p>
            <w:r>
              <w:rPr>
                <w:sz w:val="19"/>
              </w:rPr>
              <w:t xml:space="preserve">         3.</w:t>
            </w:r>
            <w:r>
              <w:rPr>
                <w:sz w:val="19"/>
              </w:rPr>
              <w:t>报告审批结果以东莞市或省级环保行政主管部门批准为准；</w:t>
            </w:r>
          </w:p>
        </w:tc>
      </w:tr>
      <w:tr>
        <w:tc>
          <w:tcPr>
            <w:tcW w:type="dxa" w:w="2076"/>
          </w:tcPr>
          <w:p/>
        </w:tc>
        <w:tc>
          <w:tcPr>
            <w:tcW w:type="dxa" w:w="415"/>
          </w:tcPr>
          <w:p>
            <w:r>
              <w:rPr/>
              <w:t>5</w:t>
            </w:r>
          </w:p>
        </w:tc>
        <w:tc>
          <w:tcPr>
            <w:tcW w:type="dxa" w:w="5814"/>
          </w:tcPr>
          <w:p>
            <w:pPr>
              <w:jc w:val="both"/>
            </w:pPr>
            <w:r>
              <w:rPr>
                <w:sz w:val="19"/>
              </w:rPr>
              <w:t>五、其他要求</w:t>
            </w:r>
          </w:p>
          <w:p>
            <w:r>
              <w:rPr>
                <w:sz w:val="19"/>
              </w:rPr>
              <w:t>1</w:t>
            </w:r>
            <w:r>
              <w:rPr>
                <w:sz w:val="19"/>
              </w:rPr>
              <w:t>、中标人须认真遵守职业道德和行业规范，严禁弄虚作假、营私舞弊，严格执行国家法律法规及相关行业规定。按规定缴纳税费，必须提供带税章的正式发票。坚决杜绝使用行贿、送礼品、给回/扣等一切不正当竞争行为获得实际服务机会的承接项目工作。</w:t>
            </w:r>
          </w:p>
          <w:p>
            <w:r>
              <w:rPr>
                <w:sz w:val="19"/>
              </w:rPr>
              <w:t>2</w:t>
            </w:r>
            <w:r>
              <w:rPr>
                <w:sz w:val="19"/>
              </w:rPr>
              <w:t>、中标人应对承接项目的内容予以严格保密。服务相关文件所涉及采购人商业秘密的内容，未经采购人同意，中标人不能泄露给第三方；未经采购人同意，中标人在完成项目相关文件后不留存采购人属于商业秘密的技术文件与资料。</w:t>
            </w:r>
          </w:p>
          <w:p>
            <w:r>
              <w:rPr>
                <w:sz w:val="19"/>
              </w:rPr>
              <w:t xml:space="preserve">        3</w:t>
            </w:r>
            <w:r>
              <w:rPr>
                <w:sz w:val="19"/>
              </w:rPr>
              <w:t>、中标人应当坚持公正、科学、诚信的工作原则，遵守职业道德，讲求专业信誉，对相关社会责任负责，不得违反国家法律、法规、政策及有关管理要求，不得无任何正当理由拒绝承担项目工作。如因国家、地方产业政策、选址或用地等限制因素导致不能通过生态环境主管部门的审批，该责任不在投标人，采购人根据工作内容及完成情况支付相关费用给投标人。</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广东省泗安医院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采购包1：保证金人民币：15,000.00元整。</w:t>
            </w:r>
          </w:p>
          <w:p>
            <w:r>
              <w:rPr/>
              <w:t>开户单位：</w:t>
            </w:r>
            <w:r>
              <w:rPr/>
              <w:t>广东华伦招标有限公司</w:t>
            </w:r>
          </w:p>
          <w:p>
            <w:r>
              <w:rPr/>
              <w:t>开户账号：</w:t>
            </w:r>
            <w:r>
              <w:rPr/>
              <w:t>15000103073565</w:t>
            </w:r>
          </w:p>
          <w:p>
            <w:r>
              <w:rPr/>
              <w:t>开户银行：</w:t>
            </w:r>
            <w:r>
              <w:rPr/>
              <w:t>平安银行广州珠江新城支行</w:t>
            </w:r>
          </w:p>
          <w:p>
            <w:r>
              <w:rPr/>
              <w:t>支票提交方式：</w:t>
            </w:r>
            <w:r>
              <w:rPr/>
              <w:t>须在递交投标文件截止时间前完成缴纳</w:t>
            </w:r>
          </w:p>
          <w:p>
            <w:r>
              <w:rPr/>
              <w:t>汇票、本票提交方式：</w:t>
            </w:r>
            <w:r>
              <w:rPr/>
              <w:t>须在递交投标文件截止时间前完成缴纳</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采购机构代理服务收费标准：参照国家计委《招标代理服务收费管理暂行办法》（计价格[2002]1980号）、国家发改委[2003]857号及发改价格[2011]534号文件中规定的计算方 法和计费标准执行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020-83172290</w:t>
      </w:r>
    </w:p>
    <w:p>
      <w:pPr>
        <w:ind w:firstLine="480"/>
      </w:pPr>
      <w:r>
        <w:rPr/>
        <w:t>邮箱：</w:t>
      </w:r>
      <w:r>
        <w:rPr/>
        <w:t>gdhl_03@163.com</w:t>
      </w:r>
    </w:p>
    <w:p>
      <w:pPr>
        <w:ind w:firstLine="480"/>
      </w:pPr>
      <w:r>
        <w:rPr/>
        <w:t>地址：</w:t>
      </w:r>
      <w:r>
        <w:rPr/>
        <w:t>广州市越秀区广仁路一号广仁大厦七楼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公共卫生医学中心环境影响评价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采购包1（广东省公共卫生医学中心环境影响评价服务项目）：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采购包1（广东省公共卫生医学中心环境影响评价服务项目）：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具有良好的商业信誉和健全的财务会计制度：供应商必须具有良好的商业信誉和健全的财务会计制度[提供2020年度或2021年度 财务状况报告或基本开户行出具的资信证明，或最近一期财务报表（适用在上一年度或本财务年度成立的法人或其他组织）， 或人民银行出具的个人信用报告（适用于自然人）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获取采购文件</w:t>
            </w:r>
          </w:p>
        </w:tc>
        <w:tc>
          <w:tcPr>
            <w:tcW w:type="dxa" w:w="4238"/>
          </w:tcPr>
          <w:p>
            <w:r>
              <w:rPr/>
              <w:t>供应商已按采购公告及采购文件的规定获取了采购文件</w:t>
            </w:r>
          </w:p>
        </w:tc>
      </w:tr>
      <w:tr>
        <w:tc>
          <w:tcPr>
            <w:tcW w:type="dxa" w:w="890"/>
          </w:tcPr>
          <w:p>
            <w:r>
              <w:rPr/>
              <w:t>9</w:t>
            </w:r>
          </w:p>
        </w:tc>
        <w:tc>
          <w:tcPr>
            <w:tcW w:type="dxa" w:w="3178"/>
          </w:tcPr>
          <w:p>
            <w:r>
              <w:rPr/>
              <w:t>本项目不接受联合体报价</w:t>
            </w:r>
          </w:p>
        </w:tc>
        <w:tc>
          <w:tcPr>
            <w:tcW w:type="dxa" w:w="4238"/>
          </w:tcPr>
          <w:p>
            <w:r>
              <w:rPr/>
              <w:t>本项目不接受联合体报价</w:t>
            </w:r>
          </w:p>
        </w:tc>
      </w:tr>
      <w:tr>
        <w:tc>
          <w:tcPr>
            <w:tcW w:type="dxa" w:w="890"/>
          </w:tcPr>
          <w:p>
            <w:r>
              <w:rPr/>
              <w:t>10</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采购包1（广东省公共卫生医学中心环境影响评价服务项目）：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 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投标保证金</w:t>
            </w:r>
          </w:p>
        </w:tc>
        <w:tc>
          <w:tcPr>
            <w:tcW w:type="dxa" w:w="4238"/>
          </w:tcPr>
          <w:p>
            <w:r>
              <w:rPr/>
              <w:t>已按招标文件要求交纳足额投标保证金，采用投标保函（或《政府采购投标担保函 》）形式交纳的，投标保函（或《政府采购投标担保函》）有效期符合招标文件规定</w:t>
            </w:r>
          </w:p>
        </w:tc>
      </w:tr>
      <w:tr>
        <w:tc>
          <w:tcPr>
            <w:tcW w:type="dxa" w:w="890"/>
          </w:tcPr>
          <w:p>
            <w:r>
              <w:rPr/>
              <w:t>8</w:t>
            </w:r>
          </w:p>
        </w:tc>
        <w:tc>
          <w:tcPr>
            <w:tcW w:type="dxa" w:w="3178"/>
          </w:tcPr>
          <w:p>
            <w:r>
              <w:rPr/>
              <w:t>投标报价</w:t>
            </w:r>
          </w:p>
        </w:tc>
        <w:tc>
          <w:tcPr>
            <w:tcW w:type="dxa" w:w="4238"/>
          </w:tcPr>
          <w:p>
            <w:r>
              <w:rPr/>
              <w:t>投标报价（含单项报价，如有要求）未超过招标文件中规定相应的预算金额或者最高限价； 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9</w:t>
            </w:r>
          </w:p>
        </w:tc>
        <w:tc>
          <w:tcPr>
            <w:tcW w:type="dxa" w:w="3178"/>
          </w:tcPr>
          <w:p>
            <w:r>
              <w:rPr/>
              <w:t>附加条件</w:t>
            </w:r>
          </w:p>
        </w:tc>
        <w:tc>
          <w:tcPr>
            <w:tcW w:type="dxa" w:w="4238"/>
          </w:tcPr>
          <w:p>
            <w:r>
              <w:rPr/>
              <w:t>投标文件未含有采购人不能接受的附加条件。</w:t>
            </w:r>
          </w:p>
        </w:tc>
      </w:tr>
      <w:tr>
        <w:tc>
          <w:tcPr>
            <w:tcW w:type="dxa" w:w="890"/>
          </w:tcPr>
          <w:p>
            <w:r>
              <w:rPr/>
              <w:t>10</w:t>
            </w:r>
          </w:p>
        </w:tc>
        <w:tc>
          <w:tcPr>
            <w:tcW w:type="dxa" w:w="3178"/>
          </w:tcPr>
          <w:p>
            <w:r>
              <w:rPr/>
              <w:t>串通投标</w:t>
            </w:r>
          </w:p>
        </w:tc>
        <w:tc>
          <w:tcPr>
            <w:tcW w:type="dxa" w:w="4238"/>
          </w:tcPr>
          <w:p>
            <w:r>
              <w:rPr/>
              <w:t>未出现招标文件所列的视为串通投标的情形。</w:t>
            </w:r>
          </w:p>
        </w:tc>
      </w:tr>
      <w:tr>
        <w:tc>
          <w:tcPr>
            <w:tcW w:type="dxa" w:w="890"/>
          </w:tcPr>
          <w:p>
            <w:r>
              <w:rPr/>
              <w:t>11</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广东省公共卫生医学中心环境影响评价服务项目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对本项目的认识理解程度 (15.0分)</w:t>
            </w:r>
          </w:p>
        </w:tc>
        <w:tc>
          <w:tcPr>
            <w:tcW w:type="dxa" w:w="5076"/>
          </w:tcPr>
          <w:p>
            <w:pPr>
              <w:jc w:val="left"/>
            </w:pPr>
            <w:r>
              <w:rPr/>
              <w:t>考查各投标人对本项目环境评价服务及报批要求的理解程度，根据投标文件对采购文件响应情况进行评分：  熟悉了解项目情况及项目实施流程，对本项目的理解分析到位，得15分； 熟悉了解项目情况及项目实施流程，对本项目的理解分析较到位，得10分； 对项目情况有所了解，对本项目的理解分析不够到位，得5分； 不了解项目情况，对本项目的理解分析不到位，得1分。</w:t>
            </w:r>
          </w:p>
        </w:tc>
      </w:tr>
      <w:tr>
        <w:tc>
          <w:tcPr>
            <w:tcW w:type="dxa" w:w="922"/>
            <w:gridSpan w:val="2"/>
            <w:vMerge/>
          </w:tcPr>
          <w:p/>
        </w:tc>
        <w:tc>
          <w:tcPr>
            <w:tcW w:type="dxa" w:w="2307"/>
          </w:tcPr>
          <w:p>
            <w:pPr>
              <w:jc w:val="left"/>
            </w:pPr>
            <w:r>
              <w:rPr/>
              <w:t>技术方案 (20.0分)</w:t>
            </w:r>
          </w:p>
        </w:tc>
        <w:tc>
          <w:tcPr>
            <w:tcW w:type="dxa" w:w="5076"/>
          </w:tcPr>
          <w:p>
            <w:pPr>
              <w:jc w:val="left"/>
            </w:pPr>
            <w:r>
              <w:rPr/>
              <w:t>考查各投标人技术方案描述及可执行情况进行评分： 投标技术方案详细具体，完全满足并优于招标文件要求、可执行性强、能按时交付成果，得20分； 投标技术方案详细较具体，满足招标文件要求，可执行性较可行、能按时交付成果，得14分； 投标技术方案整体情况一般，基本满足招标文件要求，基本可执行，能按时交付成果，得7分； 投标技术方案整体情况较差，或可执行性较差，或不能按时交付成果，得1分。</w:t>
            </w:r>
          </w:p>
        </w:tc>
      </w:tr>
      <w:tr>
        <w:tc>
          <w:tcPr>
            <w:tcW w:type="dxa" w:w="922"/>
            <w:gridSpan w:val="2"/>
            <w:vMerge/>
          </w:tcPr>
          <w:p/>
        </w:tc>
        <w:tc>
          <w:tcPr>
            <w:tcW w:type="dxa" w:w="2307"/>
          </w:tcPr>
          <w:p>
            <w:pPr>
              <w:jc w:val="left"/>
            </w:pPr>
            <w:r>
              <w:rPr/>
              <w:t>进度计划、质量保证体系及保障措施 (10.0分)</w:t>
            </w:r>
          </w:p>
        </w:tc>
        <w:tc>
          <w:tcPr>
            <w:tcW w:type="dxa" w:w="5076"/>
          </w:tcPr>
          <w:p>
            <w:pPr>
              <w:jc w:val="left"/>
            </w:pPr>
            <w:r>
              <w:rPr/>
              <w:t>根据各投标文件进度计划、质量保证体系及保障措施等情况进行评分。 进度计划及质量保证措施优于采购文件要求，完善、合理、可行得10分； 进度计划及质量保证措施满足采购文件要求，较完善、较合理，可行性较好得7分； 进度计划及质量保证措施基本满足采购文件要求得4分； 进度计划及质量保证措施不满足采购文件要求得1分；</w:t>
            </w:r>
          </w:p>
        </w:tc>
      </w:tr>
      <w:tr>
        <w:tc>
          <w:tcPr>
            <w:tcW w:type="dxa" w:w="922"/>
            <w:gridSpan w:val="2"/>
            <w:vMerge/>
          </w:tcPr>
          <w:p/>
        </w:tc>
        <w:tc>
          <w:tcPr>
            <w:tcW w:type="dxa" w:w="2307"/>
          </w:tcPr>
          <w:p>
            <w:pPr>
              <w:jc w:val="left"/>
            </w:pPr>
            <w:r>
              <w:rPr/>
              <w:t>服务便利性 (5.0分)</w:t>
            </w:r>
          </w:p>
        </w:tc>
        <w:tc>
          <w:tcPr>
            <w:tcW w:type="dxa" w:w="5076"/>
          </w:tcPr>
          <w:p>
            <w:pPr>
              <w:jc w:val="left"/>
            </w:pPr>
            <w:r>
              <w:rPr/>
              <w:t>根据各投标文件承诺的响应时间及办公场所情况进行评分 响应时间迅速，服务便捷优于采购文件要求，得5分； 响应时间较为迅速，服务较为便捷满足采购文件要求,得3分； 响应时间不迅速，服务不便捷不满足采购文件要求,得1分； 注：提供办公场所实地照片等相关证明文件（房产证或租赁合同等），否则无效。</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1、2019年1月1日至今，投标人承担过同类环境影响评价项目，每个项目得5分，以合同签订时间为准，本项最高得10分。 上述证明材料提供合同关键页扫描件加盖公章。原件备查。</w:t>
            </w:r>
          </w:p>
        </w:tc>
      </w:tr>
      <w:tr>
        <w:tc>
          <w:tcPr>
            <w:tcW w:type="dxa" w:w="922"/>
            <w:gridSpan w:val="2"/>
            <w:vMerge/>
          </w:tcPr>
          <w:p/>
        </w:tc>
        <w:tc>
          <w:tcPr>
            <w:tcW w:type="dxa" w:w="2307"/>
          </w:tcPr>
          <w:p>
            <w:pPr>
              <w:jc w:val="left"/>
            </w:pPr>
            <w:r>
              <w:rPr/>
              <w:t>项目团队能力 (20.0分)</w:t>
            </w:r>
          </w:p>
        </w:tc>
        <w:tc>
          <w:tcPr>
            <w:tcW w:type="dxa" w:w="5076"/>
          </w:tcPr>
          <w:p>
            <w:pPr>
              <w:jc w:val="left"/>
            </w:pPr>
            <w:r>
              <w:rPr/>
              <w:t>1、项目负责人具备：（1）环境保护相关专业高级职称证书；（2）环境影响评价工程师职业资格证书；（3）注册环保工程师资格证书；（4）环境影响评价技术评估专家库入库专家（省级或以上）；上述证书每具备一个得2.5分，本项目最高得10分。 2、技术负责人具备：（1）环境保护相关专业高级职称证书；（2）环境影响评价工程师职业资格证书；（3）注册环保工程师资格证书；上述证书每具备一个得2分，本项最高得6分。 3、团队技术成员：同时具备（1）环境保护相关专业高级职称证书；（2）环境影响评价工程师职业资格证书；（3）环境影响评价技术评估专家库入库专家（市级或以上），每投入一名（除项目负责人和技术负责人外）得2分，本项最高得4分。 上述人员证明材料提供证书（环境影响评价技术评估专家库入库专家提供平台截图加盖公章证明材料）和个人在投标公司最近三个月社保扫描件加盖公章，原件备查。新成立企业如社保缴纳不足三个月的，按实际社保缴纳月份情况提交证明材料。</w:t>
            </w:r>
          </w:p>
        </w:tc>
      </w:tr>
      <w:tr>
        <w:tc>
          <w:tcPr>
            <w:tcW w:type="dxa" w:w="922"/>
            <w:gridSpan w:val="2"/>
            <w:vMerge/>
          </w:tcPr>
          <w:p/>
        </w:tc>
        <w:tc>
          <w:tcPr>
            <w:tcW w:type="dxa" w:w="2307"/>
          </w:tcPr>
          <w:p>
            <w:pPr>
              <w:jc w:val="left"/>
            </w:pPr>
            <w:r>
              <w:rPr/>
              <w:t>综合实力 (10.0分)</w:t>
            </w:r>
          </w:p>
        </w:tc>
        <w:tc>
          <w:tcPr>
            <w:tcW w:type="dxa" w:w="5076"/>
          </w:tcPr>
          <w:p>
            <w:pPr>
              <w:jc w:val="left"/>
            </w:pPr>
            <w:r>
              <w:rPr/>
              <w:t>1. 投标人独立获得过省级或以上部门颁发的环境保护环境服务方面奖项骨干企业荣誉证书的，得5分。本小项最高得5分。注：需提供荣誉证书扫描件，否则不得分；同一项目获得多项奖项的，不重复得分。 2. 投标人独立获得省级或以上部门颁发的医疗领域环境保护优秀示范工程荣誉证书得5分，本小项最高得5分。注：需提供荣誉证书扫描件，否则不得分；同一项目获得多项奖项的，不重复得分。上述证明材料提供证书复印件加盖公章（以发证时间为准），原件备查。</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rPr>
          <w:b/>
          <w:color w:val="212121"/>
          <w:sz w:val="21"/>
        </w:rPr>
        <w:t>甲方</w:t>
      </w:r>
      <w:r>
        <w:rPr>
          <w:b/>
          <w:color w:val="212121"/>
          <w:sz w:val="21"/>
        </w:rPr>
        <w:t>： 广东省泗安医院</w:t>
      </w:r>
    </w:p>
    <w:p>
      <w:r>
        <w:rPr>
          <w:color w:val="212121"/>
          <w:sz w:val="21"/>
        </w:rPr>
        <w:t>电话：</w:t>
      </w:r>
      <w:r>
        <w:rPr>
          <w:color w:val="212121"/>
          <w:sz w:val="21"/>
          <w:u w:val="single"/>
        </w:rPr>
        <w:t xml:space="preserve">           </w:t>
      </w:r>
      <w:r>
        <w:rPr>
          <w:color w:val="212121"/>
          <w:sz w:val="21"/>
        </w:rPr>
        <w:t>传真：</w:t>
      </w:r>
      <w:r>
        <w:rPr>
          <w:color w:val="212121"/>
          <w:sz w:val="21"/>
          <w:u w:val="single"/>
        </w:rPr>
        <w:t xml:space="preserve">         </w:t>
      </w:r>
      <w:r>
        <w:rPr>
          <w:color w:val="212121"/>
          <w:sz w:val="21"/>
        </w:rPr>
        <w:t>地址：</w:t>
      </w:r>
      <w:r>
        <w:rPr>
          <w:color w:val="212121"/>
          <w:sz w:val="21"/>
          <w:u w:val="single"/>
        </w:rPr>
        <w:t xml:space="preserve">          </w:t>
      </w:r>
    </w:p>
    <w:p>
      <w:r>
        <w:rPr>
          <w:b/>
          <w:color w:val="212121"/>
          <w:sz w:val="21"/>
        </w:rPr>
        <w:t>乙方</w:t>
      </w:r>
      <w:r>
        <w:rPr>
          <w:b/>
          <w:color w:val="212121"/>
          <w:sz w:val="21"/>
        </w:rPr>
        <w:t>：</w:t>
      </w:r>
      <w:r>
        <w:rPr>
          <w:b/>
          <w:color w:val="212121"/>
          <w:sz w:val="21"/>
          <w:u w:val="single"/>
        </w:rPr>
        <w:t xml:space="preserve">           </w:t>
      </w:r>
    </w:p>
    <w:p>
      <w:r>
        <w:rPr>
          <w:color w:val="212121"/>
          <w:sz w:val="21"/>
        </w:rPr>
        <w:t>电话：</w:t>
      </w:r>
      <w:r>
        <w:rPr>
          <w:color w:val="212121"/>
          <w:sz w:val="21"/>
          <w:u w:val="single"/>
        </w:rPr>
        <w:t xml:space="preserve">           </w:t>
      </w:r>
      <w:r>
        <w:rPr>
          <w:color w:val="212121"/>
          <w:sz w:val="21"/>
        </w:rPr>
        <w:t>传真：</w:t>
      </w:r>
      <w:r>
        <w:rPr>
          <w:color w:val="212121"/>
          <w:sz w:val="21"/>
          <w:u w:val="single"/>
        </w:rPr>
        <w:t xml:space="preserve">         </w:t>
      </w:r>
      <w:r>
        <w:rPr>
          <w:color w:val="212121"/>
          <w:sz w:val="21"/>
        </w:rPr>
        <w:t>地址：</w:t>
      </w:r>
      <w:r>
        <w:rPr>
          <w:color w:val="212121"/>
          <w:sz w:val="21"/>
          <w:u w:val="single"/>
        </w:rPr>
        <w:t xml:space="preserve">          </w:t>
      </w:r>
    </w:p>
    <w:p>
      <w:pPr>
        <w:ind w:firstLine="440"/>
        <w:jc w:val="both"/>
      </w:pPr>
    </w:p>
    <w:p>
      <w:pPr>
        <w:ind w:firstLine="440"/>
        <w:jc w:val="both"/>
      </w:pPr>
      <w:r>
        <w:rPr>
          <w:color w:val="212121"/>
          <w:sz w:val="21"/>
        </w:rPr>
        <w:t>根据</w:t>
      </w:r>
      <w:r>
        <w:rPr>
          <w:sz w:val="21"/>
          <w:u w:val="single"/>
        </w:rPr>
        <w:t>广东省公共卫生医学中心环境影响评价服务项目</w:t>
      </w:r>
      <w:r>
        <w:rPr>
          <w:color w:val="212121"/>
          <w:sz w:val="21"/>
        </w:rPr>
        <w:t>的采购结果，按照《中华人民共和国政府采购法》，《中华人民共和国民法典(合同编)</w:t>
      </w:r>
      <w:r>
        <w:rPr>
          <w:color w:val="212121"/>
          <w:sz w:val="21"/>
        </w:rPr>
        <w:t>》</w:t>
      </w:r>
      <w:r>
        <w:rPr>
          <w:color w:val="212121"/>
          <w:sz w:val="21"/>
        </w:rPr>
        <w:t>的规定，经双方协商，本着平等互利和诚实信用的原则，一致同意遵守本合同如下。</w:t>
      </w:r>
    </w:p>
    <w:p>
      <w:pPr>
        <w:ind w:firstLine="692"/>
        <w:jc w:val="both"/>
      </w:pPr>
      <w:r>
        <w:rPr>
          <w:b/>
          <w:color w:val="212121"/>
          <w:sz w:val="21"/>
        </w:rPr>
        <w:t>一</w:t>
      </w:r>
      <w:r>
        <w:rPr>
          <w:b/>
          <w:color w:val="212121"/>
          <w:sz w:val="21"/>
        </w:rPr>
        <w:t>、服务范</w:t>
      </w:r>
      <w:r>
        <w:rPr>
          <w:b/>
          <w:color w:val="212121"/>
          <w:sz w:val="21"/>
        </w:rPr>
        <w:t>围</w:t>
      </w:r>
    </w:p>
    <w:p>
      <w:pPr>
        <w:ind w:firstLine="440"/>
        <w:jc w:val="both"/>
      </w:pPr>
      <w:r>
        <w:rPr>
          <w:color w:val="212121"/>
          <w:sz w:val="21"/>
        </w:rPr>
        <w:t>甲方聘请乙方提供以下服务：</w:t>
      </w:r>
    </w:p>
    <w:p>
      <w:pPr>
        <w:ind w:firstLine="440"/>
        <w:jc w:val="both"/>
      </w:pPr>
      <w:r>
        <w:rPr>
          <w:color w:val="212121"/>
          <w:sz w:val="21"/>
        </w:rPr>
        <w:t>1.</w:t>
      </w:r>
      <w:r>
        <w:rPr>
          <w:color w:val="212121"/>
          <w:sz w:val="21"/>
        </w:rPr>
        <w:t>广东省公共卫生医学中心环境影响报告书编制；</w:t>
      </w:r>
    </w:p>
    <w:p>
      <w:pPr>
        <w:ind w:firstLine="440"/>
        <w:jc w:val="both"/>
      </w:pPr>
      <w:r>
        <w:rPr>
          <w:color w:val="212121"/>
          <w:sz w:val="21"/>
        </w:rPr>
        <w:t>2.</w:t>
      </w:r>
      <w:r>
        <w:rPr>
          <w:color w:val="212121"/>
          <w:sz w:val="21"/>
        </w:rPr>
        <w:t>广东省公共卫生医学中心生物安全三级实验室环境影响报告书编制；</w:t>
      </w:r>
    </w:p>
    <w:p>
      <w:pPr>
        <w:ind w:firstLine="440"/>
        <w:jc w:val="both"/>
      </w:pPr>
      <w:r>
        <w:rPr>
          <w:color w:val="212121"/>
          <w:sz w:val="21"/>
        </w:rPr>
        <w:t>3.</w:t>
      </w:r>
      <w:r>
        <w:rPr>
          <w:color w:val="212121"/>
          <w:sz w:val="21"/>
        </w:rPr>
        <w:t>项目环境影响评价咨询和报批服务；</w:t>
      </w:r>
    </w:p>
    <w:p>
      <w:pPr>
        <w:ind w:firstLine="440"/>
        <w:jc w:val="both"/>
      </w:pPr>
      <w:r>
        <w:rPr>
          <w:color w:val="212121"/>
          <w:sz w:val="21"/>
        </w:rPr>
        <w:t>4.</w:t>
      </w:r>
      <w:r>
        <w:rPr>
          <w:color w:val="212121"/>
          <w:sz w:val="21"/>
        </w:rPr>
        <w:t>项目环境现状监测。</w:t>
      </w:r>
    </w:p>
    <w:p>
      <w:pPr>
        <w:ind w:firstLine="462"/>
        <w:jc w:val="both"/>
      </w:pPr>
      <w:r>
        <w:rPr>
          <w:b/>
          <w:color w:val="212121"/>
          <w:sz w:val="21"/>
        </w:rPr>
        <w:t>二</w:t>
      </w:r>
      <w:r>
        <w:rPr>
          <w:b/>
          <w:color w:val="212121"/>
          <w:sz w:val="21"/>
        </w:rPr>
        <w:t>、合同金额</w:t>
      </w:r>
    </w:p>
    <w:p>
      <w:pPr>
        <w:ind w:firstLine="440"/>
        <w:jc w:val="both"/>
      </w:pPr>
      <w:r>
        <w:rPr>
          <w:color w:val="212121"/>
          <w:sz w:val="21"/>
        </w:rPr>
        <w:t>合同金额为（大写）：</w:t>
      </w:r>
      <w:r>
        <w:rPr>
          <w:color w:val="212121"/>
          <w:sz w:val="21"/>
          <w:u w:val="single"/>
        </w:rPr>
        <w:t xml:space="preserve">          </w:t>
      </w:r>
      <w:r>
        <w:rPr>
          <w:color w:val="212121"/>
          <w:sz w:val="21"/>
        </w:rPr>
        <w:t>元（￥</w:t>
      </w:r>
      <w:r>
        <w:rPr>
          <w:color w:val="212121"/>
          <w:sz w:val="21"/>
          <w:u w:val="single"/>
        </w:rPr>
        <w:t xml:space="preserve">  </w:t>
      </w:r>
      <w:r>
        <w:rPr>
          <w:color w:val="212121"/>
          <w:sz w:val="21"/>
        </w:rPr>
        <w:t>元）人民币</w:t>
      </w:r>
      <w:r>
        <w:rPr>
          <w:color w:val="212121"/>
          <w:sz w:val="21"/>
        </w:rPr>
        <w:t>。</w:t>
      </w:r>
    </w:p>
    <w:p>
      <w:pPr>
        <w:ind w:firstLine="422"/>
        <w:jc w:val="both"/>
      </w:pPr>
      <w:r>
        <w:rPr>
          <w:b/>
          <w:color w:val="212121"/>
          <w:sz w:val="21"/>
        </w:rPr>
        <w:t>三、甲方乙方的权利和义务</w:t>
      </w:r>
    </w:p>
    <w:p>
      <w:pPr>
        <w:ind w:firstLine="420"/>
        <w:jc w:val="both"/>
      </w:pPr>
      <w:r>
        <w:rPr>
          <w:color w:val="212121"/>
          <w:sz w:val="21"/>
        </w:rPr>
        <w:t>（</w:t>
      </w:r>
      <w:r>
        <w:rPr>
          <w:color w:val="212121"/>
          <w:sz w:val="21"/>
        </w:rPr>
        <w:t>一</w:t>
      </w:r>
      <w:r>
        <w:rPr>
          <w:color w:val="212121"/>
          <w:sz w:val="21"/>
        </w:rPr>
        <w:t>）甲方的权利和义务</w:t>
      </w:r>
    </w:p>
    <w:p>
      <w:pPr>
        <w:ind w:firstLine="420"/>
        <w:jc w:val="both"/>
      </w:pPr>
      <w:r>
        <w:rPr>
          <w:color w:val="212121"/>
          <w:sz w:val="21"/>
        </w:rPr>
        <w:t>1.</w:t>
      </w:r>
      <w:r>
        <w:rPr>
          <w:color w:val="212121"/>
          <w:sz w:val="21"/>
        </w:rPr>
        <w:t>甲方应在约定时间内按照乙方要求提供真实、有效基础材料，及时协助乙方收集基础资料；并配合负责所有外部关系的协调（包括但不限于当地政府主管部门等），为乙方履行合同提供必要的内外部实施条件。</w:t>
      </w:r>
    </w:p>
    <w:p>
      <w:pPr>
        <w:ind w:firstLine="420"/>
        <w:jc w:val="both"/>
      </w:pPr>
      <w:r>
        <w:rPr>
          <w:color w:val="212121"/>
          <w:sz w:val="21"/>
        </w:rPr>
        <w:t>2.</w:t>
      </w:r>
      <w:r>
        <w:rPr>
          <w:color w:val="212121"/>
          <w:sz w:val="21"/>
        </w:rPr>
        <w:t>甲方应按本合同规定的时间和金额向乙方支付各阶段合同价款。</w:t>
      </w:r>
    </w:p>
    <w:p>
      <w:pPr>
        <w:ind w:firstLine="420"/>
        <w:jc w:val="both"/>
      </w:pPr>
      <w:r>
        <w:rPr>
          <w:color w:val="212121"/>
          <w:sz w:val="21"/>
        </w:rPr>
        <w:t>3.</w:t>
      </w:r>
      <w:r>
        <w:rPr>
          <w:color w:val="212121"/>
          <w:sz w:val="21"/>
        </w:rPr>
        <w:t>甲方有权了解项目实施情况，及时组织各阶段成果的汇报、审查、研讨等工作，并及时将审查结果以书面形式提交给乙方。</w:t>
      </w:r>
    </w:p>
    <w:p>
      <w:pPr>
        <w:ind w:firstLine="420"/>
        <w:jc w:val="both"/>
      </w:pPr>
      <w:r>
        <w:rPr>
          <w:color w:val="212121"/>
          <w:sz w:val="21"/>
        </w:rPr>
        <w:t>4.</w:t>
      </w:r>
      <w:r>
        <w:rPr>
          <w:color w:val="212121"/>
          <w:sz w:val="21"/>
        </w:rPr>
        <w:t>甲方指派专人负责与乙方联系，接受乙方就本项目的咨询及沟通，接收对应成果文件的提交。甲方变更联系人，应及时书面告知乙方。</w:t>
      </w:r>
    </w:p>
    <w:p>
      <w:pPr>
        <w:ind w:firstLine="420"/>
        <w:jc w:val="both"/>
      </w:pPr>
      <w:r>
        <w:rPr>
          <w:color w:val="212121"/>
          <w:sz w:val="21"/>
        </w:rPr>
        <w:t>5.</w:t>
      </w:r>
      <w:r>
        <w:rPr>
          <w:color w:val="212121"/>
          <w:sz w:val="21"/>
        </w:rPr>
        <w:t>在合同履行过程中，甲方如发现乙方项目组主要成员有严重错误或有正当理由对乙方项目组主要成员履行的服务不满意的，有权要求乙方替换项目组主要成员。</w:t>
      </w:r>
    </w:p>
    <w:p>
      <w:pPr>
        <w:ind w:firstLine="420"/>
        <w:jc w:val="both"/>
      </w:pPr>
      <w:r>
        <w:rPr>
          <w:color w:val="212121"/>
          <w:sz w:val="21"/>
        </w:rPr>
        <w:t>6.</w:t>
      </w:r>
      <w:r>
        <w:rPr>
          <w:color w:val="212121"/>
          <w:sz w:val="21"/>
        </w:rPr>
        <w:t>甲方不得要求乙方违反国家和地方的法律法规及相关技术标准、规范、规定等进行规划设计工作。</w:t>
      </w:r>
    </w:p>
    <w:p>
      <w:pPr>
        <w:ind w:firstLine="420"/>
        <w:jc w:val="both"/>
      </w:pPr>
      <w:r>
        <w:rPr>
          <w:color w:val="212121"/>
          <w:sz w:val="21"/>
        </w:rPr>
        <w:t>（</w:t>
      </w:r>
      <w:r>
        <w:rPr>
          <w:color w:val="212121"/>
          <w:sz w:val="21"/>
        </w:rPr>
        <w:t>二）</w:t>
      </w:r>
      <w:r>
        <w:rPr>
          <w:color w:val="212121"/>
          <w:sz w:val="21"/>
        </w:rPr>
        <w:t>乙方的权利和义务</w:t>
      </w:r>
    </w:p>
    <w:p>
      <w:pPr>
        <w:ind w:firstLine="420"/>
        <w:jc w:val="both"/>
      </w:pPr>
      <w:r>
        <w:rPr>
          <w:color w:val="212121"/>
          <w:sz w:val="21"/>
        </w:rPr>
        <w:t>1.</w:t>
      </w:r>
      <w:r>
        <w:rPr>
          <w:color w:val="212121"/>
          <w:sz w:val="21"/>
        </w:rPr>
        <w:t>乙方</w:t>
      </w:r>
      <w:r>
        <w:rPr>
          <w:color w:val="212121"/>
          <w:sz w:val="21"/>
        </w:rPr>
        <w:t>须按合同约定的期限完成</w:t>
      </w:r>
      <w:r>
        <w:rPr>
          <w:color w:val="212121"/>
          <w:sz w:val="21"/>
        </w:rPr>
        <w:t>本项目</w:t>
      </w:r>
      <w:r>
        <w:rPr>
          <w:color w:val="212121"/>
          <w:sz w:val="21"/>
        </w:rPr>
        <w:t>的服务内容</w:t>
      </w:r>
      <w:r>
        <w:rPr>
          <w:color w:val="212121"/>
          <w:sz w:val="21"/>
        </w:rPr>
        <w:t>。</w:t>
      </w:r>
    </w:p>
    <w:p>
      <w:pPr>
        <w:ind w:firstLine="420"/>
        <w:jc w:val="both"/>
      </w:pPr>
      <w:r>
        <w:rPr>
          <w:color w:val="212121"/>
          <w:sz w:val="21"/>
        </w:rPr>
        <w:t>2.</w:t>
      </w:r>
      <w:r>
        <w:rPr>
          <w:color w:val="212121"/>
          <w:sz w:val="21"/>
        </w:rPr>
        <w:t>经双方协定乙方指派专人负责与甲方联系，接受甲方就本项目的咨询及沟通。乙方变更联系人，应及时书面告知甲方。</w:t>
      </w:r>
    </w:p>
    <w:p>
      <w:pPr>
        <w:ind w:firstLine="420"/>
        <w:jc w:val="both"/>
      </w:pPr>
      <w:r>
        <w:rPr>
          <w:color w:val="212121"/>
          <w:sz w:val="21"/>
        </w:rPr>
        <w:t>3.</w:t>
      </w:r>
      <w:r>
        <w:rPr>
          <w:color w:val="212121"/>
          <w:sz w:val="21"/>
        </w:rPr>
        <w:t>乙方应按照合同要求提供项目成果，对提交的成果质量负责。</w:t>
      </w:r>
    </w:p>
    <w:p>
      <w:pPr>
        <w:ind w:firstLine="420"/>
        <w:jc w:val="both"/>
      </w:pPr>
      <w:r>
        <w:rPr>
          <w:color w:val="212121"/>
          <w:sz w:val="21"/>
        </w:rPr>
        <w:t>4.</w:t>
      </w:r>
      <w:r>
        <w:rPr>
          <w:color w:val="212121"/>
          <w:sz w:val="21"/>
        </w:rPr>
        <w:t>乙方应按国家及【广东省】的有关法律法规、技术标准、技术规范，以及本合同约定的工作内容、工作进度和成果要求进行工作。</w:t>
      </w:r>
    </w:p>
    <w:p>
      <w:pPr>
        <w:ind w:firstLine="420"/>
        <w:jc w:val="both"/>
      </w:pPr>
      <w:r>
        <w:rPr>
          <w:color w:val="212121"/>
          <w:sz w:val="21"/>
        </w:rPr>
        <w:t>5.</w:t>
      </w:r>
      <w:r>
        <w:rPr>
          <w:color w:val="212121"/>
          <w:sz w:val="21"/>
        </w:rPr>
        <w:t>乙方应配合甲方组织、举办项目各工作阶段的汇报、审查、研讨等工作，并负责解答相应的技术问题，提供必要的解释和咨询。</w:t>
      </w:r>
    </w:p>
    <w:p>
      <w:pPr>
        <w:ind w:firstLine="420"/>
        <w:jc w:val="both"/>
      </w:pPr>
      <w:r>
        <w:rPr>
          <w:color w:val="212121"/>
          <w:sz w:val="21"/>
        </w:rPr>
        <w:t>6.</w:t>
      </w:r>
      <w:r>
        <w:rPr>
          <w:color w:val="212121"/>
          <w:sz w:val="21"/>
        </w:rPr>
        <w:t>合同履行期间，乙方应定期向甲方汇报工作进展和工作情况。</w:t>
      </w:r>
    </w:p>
    <w:p>
      <w:pPr>
        <w:ind w:firstLine="420"/>
        <w:jc w:val="both"/>
      </w:pPr>
      <w:r>
        <w:rPr>
          <w:color w:val="212121"/>
          <w:sz w:val="21"/>
        </w:rPr>
        <w:t>7.</w:t>
      </w:r>
      <w:r>
        <w:rPr>
          <w:color w:val="212121"/>
          <w:sz w:val="21"/>
        </w:rPr>
        <w:t>对于已经提交成果验收的各阶段成果文件，乙方须按照甲方提供的书面成果审查或审批意见进行修改和完善，必要时向甲方提供相应的书面报告说明成果修改的详细情况。未经甲方同意，乙方不得随意修改已经验收的成果文件。</w:t>
      </w:r>
    </w:p>
    <w:p>
      <w:pPr>
        <w:ind w:firstLine="420"/>
        <w:jc w:val="both"/>
      </w:pPr>
      <w:r>
        <w:rPr>
          <w:color w:val="212121"/>
          <w:sz w:val="21"/>
        </w:rPr>
        <w:t>8.</w:t>
      </w:r>
      <w:r>
        <w:rPr>
          <w:color w:val="212121"/>
          <w:sz w:val="21"/>
        </w:rPr>
        <w:t>乙方应依据合同规定的工作内容和技术要求，组织具有相应能力的各层次技术人员组成项目组。本合同履行期间，乙方替换项目组主要成员应及时征得甲方同意。</w:t>
      </w:r>
    </w:p>
    <w:p>
      <w:pPr>
        <w:ind w:firstLine="422"/>
        <w:jc w:val="both"/>
      </w:pPr>
      <w:r>
        <w:rPr>
          <w:b/>
          <w:color w:val="212121"/>
          <w:sz w:val="21"/>
        </w:rPr>
        <w:t>四、服务期间（项目完成期限）</w:t>
      </w:r>
    </w:p>
    <w:p>
      <w:pPr>
        <w:ind w:firstLine="420"/>
        <w:jc w:val="both"/>
      </w:pPr>
      <w:r>
        <w:rPr>
          <w:color w:val="212121"/>
          <w:sz w:val="21"/>
        </w:rPr>
        <w:t>报告书编制时间为90个工作日，其他服务具体时间视项目进展情况而定。</w:t>
      </w:r>
    </w:p>
    <w:p>
      <w:pPr>
        <w:ind w:firstLine="422"/>
        <w:jc w:val="both"/>
      </w:pPr>
      <w:r>
        <w:rPr>
          <w:b/>
          <w:color w:val="212121"/>
          <w:sz w:val="21"/>
        </w:rPr>
        <w:t>五、付款方式</w:t>
      </w:r>
    </w:p>
    <w:p>
      <w:pPr>
        <w:ind w:firstLine="420"/>
        <w:jc w:val="both"/>
      </w:pPr>
      <w:r>
        <w:rPr>
          <w:color w:val="212121"/>
          <w:sz w:val="21"/>
        </w:rPr>
        <w:t>1.</w:t>
      </w:r>
      <w:r>
        <w:rPr>
          <w:color w:val="212121"/>
          <w:sz w:val="21"/>
        </w:rPr>
        <w:t>在本项目合同签订后10个工作日内，乙方按合同总价开具符合国家有关 财税规定的的合法、有效的发票给甲方，并向甲方缴纳合同总价10%的履约保证金后，甲方启动款项支付流程，将合同总价全部转入双方认可的第三方银行托管。在托管完成后10个工作日内，乙方按合同总价的30%作为项目启动款向甲方提出书面请款报告，甲方办理此笔款支付手续。</w:t>
      </w:r>
    </w:p>
    <w:p>
      <w:pPr>
        <w:ind w:firstLine="420"/>
        <w:jc w:val="both"/>
      </w:pPr>
      <w:r>
        <w:rPr>
          <w:color w:val="212121"/>
          <w:sz w:val="21"/>
        </w:rPr>
        <w:t>2.</w:t>
      </w:r>
      <w:r>
        <w:rPr>
          <w:color w:val="212121"/>
          <w:sz w:val="21"/>
        </w:rPr>
        <w:t>乙方完成对本项目环境影响评价报告书及生物安全三级实验室环境影响报告书的编制，并经专家论证工作形成初步成果后，10个工作日内，乙方按合同总价的20%向甲方提出书面请款报告，甲方办理此笔款支付手续。</w:t>
      </w:r>
    </w:p>
    <w:p>
      <w:pPr>
        <w:ind w:firstLine="420"/>
        <w:jc w:val="both"/>
      </w:pPr>
      <w:r>
        <w:rPr>
          <w:color w:val="212121"/>
          <w:sz w:val="21"/>
        </w:rPr>
        <w:t>3.</w:t>
      </w:r>
      <w:r>
        <w:rPr>
          <w:color w:val="212121"/>
          <w:sz w:val="21"/>
        </w:rPr>
        <w:t>乙方完成对本项目环评报告书的部门审查及申报等工作，取得生态环境主管部门出具的本项目环评报告书的批复后后10个工作日内，乙方按合同总价的40%向甲方提出书面请款报告，甲方办理此笔款支付。</w:t>
      </w:r>
    </w:p>
    <w:p>
      <w:pPr>
        <w:ind w:firstLine="420"/>
        <w:jc w:val="both"/>
      </w:pPr>
      <w:r>
        <w:rPr>
          <w:color w:val="212121"/>
          <w:sz w:val="21"/>
        </w:rPr>
        <w:t>4.</w:t>
      </w:r>
      <w:r>
        <w:rPr>
          <w:color w:val="212121"/>
          <w:sz w:val="21"/>
        </w:rPr>
        <w:t>乙方完成全部现场空气检测任务及有关环境影响咨询任务后，经甲方认可，在10个工作日内，乙方按合同总价的10%向甲方提出书面请款报告，采购人办理此笔款支付。</w:t>
      </w:r>
    </w:p>
    <w:p>
      <w:pPr>
        <w:ind w:firstLine="420"/>
        <w:jc w:val="both"/>
      </w:pPr>
      <w:r>
        <w:rPr>
          <w:color w:val="212121"/>
          <w:sz w:val="21"/>
        </w:rPr>
        <w:t>5.</w:t>
      </w:r>
      <w:r>
        <w:rPr>
          <w:color w:val="212121"/>
          <w:sz w:val="21"/>
        </w:rPr>
        <w:t>履约保证金乙方以履约保函的形式支付，在项目验收合格满30天后，甲方无息退还。</w:t>
      </w:r>
    </w:p>
    <w:p>
      <w:pPr>
        <w:ind w:firstLine="420"/>
        <w:jc w:val="both"/>
      </w:pPr>
      <w:r>
        <w:rPr>
          <w:color w:val="212121"/>
          <w:sz w:val="21"/>
        </w:rPr>
        <w:t>因广东省公共卫生医学中心账户暂无法开立， 财政拨款是通过广东省泗安医院账户下达，广东省泗安医院作为关联方受广东省公共卫生医学中心授权，本标的所有款项支付由广东省泗安医院账户进行代付直至广东省公共卫生医学中心账户开立使用。</w:t>
      </w:r>
    </w:p>
    <w:p>
      <w:pPr>
        <w:ind w:firstLine="420"/>
        <w:jc w:val="both"/>
      </w:pPr>
      <w:r>
        <w:rPr>
          <w:color w:val="212121"/>
          <w:sz w:val="21"/>
        </w:rPr>
        <w:t>合同款项支付重要说明：每笔付款均由乙方书面提出请款报告，附上发票、合同条款、成果文件等资料，甲方在收到中标人书面申请后，按约定时间内办理财政支付手续，最终支付以财政批准支付时间为准。</w:t>
      </w:r>
    </w:p>
    <w:p>
      <w:pPr>
        <w:ind w:firstLine="420"/>
        <w:jc w:val="both"/>
      </w:pPr>
      <w:r>
        <w:rPr>
          <w:color w:val="212121"/>
          <w:sz w:val="21"/>
        </w:rPr>
        <w:t>以上款项支付进度均需在采购人具备财政支付条件的情况下进行，如因甲方不具备财政支付条件导致的延后支付，甲方不需承担责任；以上支付不得违反甲方财政主管部门的相关规定。</w:t>
      </w:r>
    </w:p>
    <w:p>
      <w:pPr>
        <w:ind w:firstLine="422"/>
        <w:jc w:val="both"/>
      </w:pPr>
      <w:r>
        <w:rPr>
          <w:b/>
          <w:color w:val="212121"/>
          <w:sz w:val="21"/>
        </w:rPr>
        <w:t>六、</w:t>
      </w:r>
      <w:r>
        <w:rPr>
          <w:b/>
          <w:color w:val="212121"/>
          <w:sz w:val="21"/>
        </w:rPr>
        <w:t>知识产权</w:t>
      </w:r>
      <w:r>
        <w:rPr>
          <w:b/>
          <w:color w:val="212121"/>
          <w:sz w:val="21"/>
        </w:rPr>
        <w:t>归</w:t>
      </w:r>
    </w:p>
    <w:p>
      <w:pPr>
        <w:ind w:firstLine="840"/>
        <w:jc w:val="both"/>
      </w:pPr>
      <w:r>
        <w:rPr>
          <w:color w:val="212121"/>
          <w:sz w:val="21"/>
        </w:rPr>
        <w:t>1.本项目成果所有权及相关知识产权归属甲方所有。</w:t>
      </w:r>
    </w:p>
    <w:p>
      <w:pPr>
        <w:ind w:firstLine="420"/>
        <w:jc w:val="both"/>
      </w:pPr>
      <w:r>
        <w:rPr>
          <w:color w:val="212121"/>
          <w:sz w:val="21"/>
        </w:rPr>
        <w:t>2.乙方应保护甲方的知识产权及技术资料，未经甲方同意，不得对资料及文件擅自修改、复制或向第三人转让或用于本合同项目外的项目。如发生以上情况，乙方承担一切由此引起的后果并承担赔偿责任。</w:t>
      </w:r>
    </w:p>
    <w:p>
      <w:pPr>
        <w:jc w:val="both"/>
      </w:pPr>
      <w:r>
        <w:rPr>
          <w:b/>
          <w:color w:val="212121"/>
          <w:sz w:val="21"/>
        </w:rPr>
        <w:t>七、</w:t>
      </w:r>
      <w:r>
        <w:rPr>
          <w:b/>
          <w:color w:val="212121"/>
          <w:sz w:val="21"/>
        </w:rPr>
        <w:t>保密</w:t>
      </w:r>
    </w:p>
    <w:p>
      <w:pPr>
        <w:ind w:firstLine="840"/>
        <w:jc w:val="both"/>
      </w:pPr>
      <w:r>
        <w:rPr>
          <w:color w:val="212121"/>
          <w:sz w:val="21"/>
        </w:rPr>
        <w:t>1.甲乙双方应遵守国家的有关保密规定，妥善保管对方提供的资料，保守对方的各项秘密，并保护对方的知识产权。</w:t>
      </w:r>
    </w:p>
    <w:p>
      <w:pPr>
        <w:ind w:firstLine="420"/>
        <w:jc w:val="both"/>
      </w:pPr>
      <w:r>
        <w:rPr>
          <w:color w:val="212121"/>
          <w:sz w:val="21"/>
        </w:rPr>
        <w:t>2.未经对方许可，任何一方均不得将对方的资料或成果向第三方转让或用于本合同项目外的其他项目。如发生以上情况，确认泄密方承担一切由此引起的后果。</w:t>
      </w:r>
    </w:p>
    <w:p>
      <w:pPr>
        <w:ind w:firstLine="420"/>
        <w:jc w:val="both"/>
      </w:pPr>
      <w:r>
        <w:rPr>
          <w:color w:val="212121"/>
          <w:sz w:val="21"/>
        </w:rPr>
        <w:t>3.</w:t>
      </w:r>
      <w:r>
        <w:rPr>
          <w:color w:val="212121"/>
          <w:sz w:val="21"/>
        </w:rPr>
        <w:t>保密期限：自成果文件交付后【壹】年。</w:t>
      </w:r>
    </w:p>
    <w:p>
      <w:pPr>
        <w:ind w:firstLine="422"/>
        <w:jc w:val="both"/>
      </w:pPr>
      <w:r>
        <w:rPr>
          <w:b/>
          <w:color w:val="212121"/>
          <w:sz w:val="21"/>
        </w:rPr>
        <w:t>八、违约责任与赔偿损失</w:t>
      </w:r>
    </w:p>
    <w:p>
      <w:pPr>
        <w:ind w:firstLine="420"/>
        <w:jc w:val="both"/>
      </w:pPr>
      <w:r>
        <w:rPr>
          <w:sz w:val="21"/>
        </w:rPr>
        <w:t>1.乙方提供的服务不符合本合同规定的，甲方有权拒收，并且乙方须向甲方支付本合同总价5%的违约金。</w:t>
      </w:r>
    </w:p>
    <w:p>
      <w:pPr>
        <w:ind w:firstLine="420"/>
      </w:pPr>
      <w:r>
        <w:rPr>
          <w:sz w:val="21"/>
        </w:rPr>
        <w:t>2.乙方未能按本合同规定的交货时间提供服务，从逾期之日起每延期一日按本合同第五条分期未交付的当期数额每日</w:t>
      </w:r>
      <w:r>
        <w:rPr>
          <w:sz w:val="21"/>
        </w:rPr>
        <w:t>1</w:t>
      </w:r>
      <w:r>
        <w:rPr>
          <w:sz w:val="21"/>
        </w:rPr>
        <w:t>‰向甲方支付违约金；逾期半个月以上的，甲方有权终止合同，由此造成的甲方经济损失由乙方承担。</w:t>
      </w:r>
    </w:p>
    <w:p>
      <w:pPr>
        <w:ind w:firstLine="420"/>
        <w:jc w:val="both"/>
      </w:pPr>
      <w:r>
        <w:rPr>
          <w:sz w:val="21"/>
        </w:rPr>
        <w:t>3.</w:t>
      </w:r>
      <w:r>
        <w:rPr>
          <w:sz w:val="21"/>
        </w:rPr>
        <w:t>甲方无正当理由拒收接受乙方提交的成果，到期拒付服务款项的，视以下情形处理：</w:t>
      </w:r>
      <w:r>
        <w:rPr>
          <w:sz w:val="21"/>
        </w:rPr>
        <w:t>本合同属于政府采购合同，甲方的合同履行基于政府就该项目资金是否拨付到位，如果没有拨付，则甲方不承担延期付款的违约责任；财政款项拨付到位后，如甲方仍拒不付款的，则按本合同第五条分期未履行的当期数额每日1‰向乙方支付违约</w:t>
      </w:r>
      <w:r>
        <w:rPr>
          <w:sz w:val="21"/>
        </w:rPr>
        <w:t>金。</w:t>
      </w:r>
    </w:p>
    <w:p>
      <w:pPr>
        <w:ind w:firstLine="420"/>
        <w:jc w:val="both"/>
      </w:pPr>
      <w:r>
        <w:rPr>
          <w:sz w:val="21"/>
        </w:rPr>
        <w:t>4.对于因甲方原因导致变更、中止或者终止政府采购合同的，按以下情形处理：已签订合同，但乙方尚未开展工作，甲方所支付的费用乙方不予退还；若乙方已开展工作，乙方应在本合同解除之日起3日内归还甲方向乙方提供的所有资料，并且向甲方提供已完成的工作成果，甲方根据乙方实际工作量支付相应服务费，否则甲方有权不支付该项费用。</w:t>
      </w:r>
    </w:p>
    <w:p>
      <w:pPr>
        <w:ind w:firstLine="420"/>
        <w:jc w:val="both"/>
      </w:pPr>
      <w:r>
        <w:rPr>
          <w:sz w:val="21"/>
        </w:rPr>
        <w:t>5.其它违约责任按《中华人民共和国民法典(合同编)》处理。</w:t>
      </w:r>
    </w:p>
    <w:p>
      <w:pPr>
        <w:numPr>
          <w:ilvl w:val="0"/>
          <w:numId w:val="1"/>
        </w:numPr>
        <w:jc w:val="both"/>
      </w:pPr>
      <w:r>
        <w:rPr>
          <w:color w:val="212121"/>
          <w:sz w:val="21"/>
        </w:rPr>
        <w:t>。</w:t>
      </w:r>
      <w:r>
        <w:rPr>
          <w:b/>
          <w:color w:val="212121"/>
          <w:sz w:val="21"/>
        </w:rPr>
        <w:t>九、争议的解决</w:t>
      </w:r>
    </w:p>
    <w:p>
      <w:pPr>
        <w:ind w:firstLine="420"/>
        <w:jc w:val="both"/>
      </w:pPr>
      <w:r>
        <w:rPr>
          <w:sz w:val="21"/>
        </w:rPr>
        <w:t>签约双方在履约中发生争执和分歧，双方应通过友好协商解决．若经协商不能达成协议时，任何一方可向广州仲裁委员会申请仲裁，仲裁裁决是终局的，对双方都有约束力。仲裁期间，双方应继续执行合同其余部分。</w:t>
      </w:r>
    </w:p>
    <w:p>
      <w:pPr>
        <w:ind w:firstLine="422"/>
        <w:jc w:val="both"/>
      </w:pPr>
      <w:r>
        <w:rPr>
          <w:b/>
          <w:color w:val="212121"/>
          <w:sz w:val="21"/>
        </w:rPr>
        <w:t>十、不可抗力</w:t>
      </w:r>
    </w:p>
    <w:p>
      <w:pPr>
        <w:ind w:firstLine="420"/>
        <w:jc w:val="both"/>
      </w:pPr>
      <w:r>
        <w:rPr>
          <w:color w:val="212121"/>
          <w:sz w:val="21"/>
        </w:rPr>
        <w:t>任何一方由于不可抗力原因不能履行合同时，应在不可抗力事件结束后1日内向对方通报，以减轻可能  给对方造成的损失，在取得有关机构的不可抗力证明或双方谅解确认后，允许延期履行或修订合同，并根据情  况可部分或全部免于承担违约责任。</w:t>
      </w:r>
    </w:p>
    <w:p>
      <w:pPr>
        <w:ind w:firstLine="458"/>
        <w:jc w:val="both"/>
      </w:pPr>
      <w:r>
        <w:rPr>
          <w:b/>
          <w:color w:val="212121"/>
          <w:sz w:val="21"/>
        </w:rPr>
        <w:t>十一、税费</w:t>
      </w:r>
    </w:p>
    <w:p>
      <w:pPr>
        <w:ind w:firstLine="420"/>
        <w:jc w:val="both"/>
      </w:pPr>
      <w:r>
        <w:rPr>
          <w:color w:val="212121"/>
          <w:sz w:val="21"/>
        </w:rPr>
        <w:t>在中国境内、外发生的与本合同执行有关的一切税费均由乙方负担</w:t>
      </w:r>
      <w:r>
        <w:rPr>
          <w:color w:val="212121"/>
          <w:sz w:val="21"/>
        </w:rPr>
        <w:t>。</w:t>
      </w:r>
    </w:p>
    <w:p>
      <w:pPr>
        <w:ind w:firstLine="422"/>
        <w:jc w:val="both"/>
      </w:pPr>
      <w:r>
        <w:rPr>
          <w:b/>
          <w:color w:val="212121"/>
          <w:sz w:val="21"/>
        </w:rPr>
        <w:t>十</w:t>
      </w:r>
      <w:r>
        <w:rPr>
          <w:b/>
          <w:color w:val="212121"/>
          <w:sz w:val="21"/>
        </w:rPr>
        <w:t>二、其它</w:t>
      </w:r>
    </w:p>
    <w:p>
      <w:pPr>
        <w:ind w:firstLine="420"/>
        <w:jc w:val="both"/>
      </w:pPr>
      <w:r>
        <w:rPr>
          <w:color w:val="212121"/>
          <w:sz w:val="21"/>
        </w:rPr>
        <w:t>1.本合同所有附件、中标通知书、招标文件、投标文件均为合同的有效组成部分，与本合同具有同等法律效力。</w:t>
      </w:r>
    </w:p>
    <w:p>
      <w:pPr>
        <w:ind w:firstLine="420"/>
        <w:jc w:val="both"/>
      </w:pPr>
      <w:r>
        <w:rPr>
          <w:color w:val="212121"/>
          <w:sz w:val="21"/>
        </w:rPr>
        <w:t>2.在执行本合同的过程中，所有经双方签署确认的文件（包括会议纪要、补充协议、往来信函）即成为本合同的有效组成部分。</w:t>
      </w:r>
    </w:p>
    <w:p>
      <w:pPr>
        <w:ind w:firstLine="420"/>
        <w:jc w:val="both"/>
      </w:pPr>
      <w:r>
        <w:rPr>
          <w:color w:val="212121"/>
          <w:sz w:val="21"/>
        </w:rPr>
        <w:t>3.如一方地址、电话、传真号码有变更，应在变更当日内书面通知对方，否则，应承担相应责任。</w:t>
      </w:r>
    </w:p>
    <w:p>
      <w:pPr>
        <w:ind w:firstLine="420"/>
        <w:jc w:val="both"/>
      </w:pPr>
      <w:r>
        <w:rPr>
          <w:color w:val="212121"/>
          <w:sz w:val="21"/>
        </w:rPr>
        <w:t>4.除甲方事先书面同意外，乙方不得部分或全部转让其应履行的合同项下的义务。</w:t>
      </w:r>
    </w:p>
    <w:p>
      <w:pPr>
        <w:ind w:firstLine="422"/>
        <w:jc w:val="both"/>
      </w:pPr>
      <w:r>
        <w:rPr>
          <w:b/>
          <w:color w:val="212121"/>
          <w:sz w:val="21"/>
        </w:rPr>
        <w:t>十</w:t>
      </w:r>
      <w:r>
        <w:rPr>
          <w:b/>
          <w:color w:val="212121"/>
          <w:sz w:val="21"/>
        </w:rPr>
        <w:t>三</w:t>
      </w:r>
      <w:r>
        <w:rPr>
          <w:b/>
          <w:color w:val="212121"/>
          <w:sz w:val="21"/>
        </w:rPr>
        <w:t>、合同生效</w:t>
      </w:r>
    </w:p>
    <w:p>
      <w:pPr>
        <w:ind w:firstLine="420"/>
        <w:jc w:val="both"/>
      </w:pPr>
      <w:r>
        <w:rPr>
          <w:color w:val="212121"/>
          <w:sz w:val="21"/>
        </w:rPr>
        <w:t>1.本合同在甲乙双方法人代表或其授权代表签字盖章后生效。</w:t>
      </w:r>
    </w:p>
    <w:p>
      <w:pPr>
        <w:ind w:firstLine="420"/>
        <w:jc w:val="both"/>
      </w:pPr>
      <w:r>
        <w:rPr>
          <w:color w:val="212121"/>
          <w:sz w:val="21"/>
        </w:rPr>
        <w:t>2.合同一式 捌 份，甲乙双方各执 肆 份。</w:t>
      </w:r>
    </w:p>
    <w:p/>
    <w:p/>
    <w:p/>
    <w:tbl>
      <w:tblPr>
        <w:tblW w:w="0" w:type="auto"/>
        <w:tblInd w:type="dxa" w:w="435"/>
        <w:tblBorders>
          <w:top w:val="single"/>
          <w:left w:val="single"/>
          <w:bottom w:val="single"/>
          <w:right w:val="single"/>
          <w:insideH w:val="single"/>
          <w:insideV w:val="single"/>
        </w:tblBorders>
      </w:tblPr>
      <w:tblGrid>
        <w:gridCol w:w="1333"/>
        <w:gridCol w:w="2877"/>
        <w:gridCol w:w="4106"/>
      </w:tblGrid>
      <w:tr>
        <w:tc>
          <w:tcPr>
            <w:tcW w:type="dxa" w:w="1333"/>
            <w:vAlign w:val="top"/>
          </w:tcPr>
          <w:p>
            <w:r>
              <w:rPr>
                <w:b/>
                <w:color w:val="212121"/>
                <w:sz w:val="21"/>
              </w:rPr>
              <w:t>甲方（盖章）：</w:t>
            </w:r>
          </w:p>
        </w:tc>
        <w:tc>
          <w:tcPr>
            <w:tcW w:type="dxa" w:w="2877"/>
            <w:vAlign w:val="top"/>
          </w:tcPr>
          <w:p/>
        </w:tc>
        <w:tc>
          <w:tcPr>
            <w:tcW w:type="dxa" w:w="4106"/>
            <w:vAlign w:val="top"/>
          </w:tcPr>
          <w:p>
            <w:pPr>
              <w:ind w:firstLine="211"/>
            </w:pPr>
            <w:r>
              <w:rPr>
                <w:b/>
                <w:color w:val="212121"/>
                <w:sz w:val="21"/>
              </w:rPr>
              <w:t>乙方（盖章）：</w:t>
            </w:r>
          </w:p>
        </w:tc>
      </w:tr>
      <w:tr>
        <w:tc>
          <w:tcPr>
            <w:tcW w:type="dxa" w:w="1333"/>
            <w:vAlign w:val="top"/>
          </w:tcPr>
          <w:p>
            <w:r>
              <w:rPr>
                <w:b/>
                <w:color w:val="212121"/>
                <w:sz w:val="21"/>
              </w:rPr>
              <w:t>代表：</w:t>
            </w:r>
          </w:p>
        </w:tc>
        <w:tc>
          <w:tcPr>
            <w:tcW w:type="dxa" w:w="2877"/>
            <w:vAlign w:val="top"/>
          </w:tcPr>
          <w:p/>
        </w:tc>
        <w:tc>
          <w:tcPr>
            <w:tcW w:type="dxa" w:w="4106"/>
            <w:vAlign w:val="top"/>
          </w:tcPr>
          <w:p>
            <w:r>
              <w:rPr>
                <w:b/>
                <w:color w:val="212121"/>
                <w:sz w:val="21"/>
              </w:rPr>
              <w:t>代表：</w:t>
            </w:r>
          </w:p>
        </w:tc>
      </w:tr>
      <w:tr>
        <w:tc>
          <w:tcPr>
            <w:tcW w:type="dxa" w:w="1333"/>
            <w:vAlign w:val="top"/>
          </w:tcPr>
          <w:p>
            <w:r>
              <w:rPr>
                <w:color w:val="212121"/>
                <w:sz w:val="21"/>
              </w:rPr>
              <w:t>签定地点：</w:t>
            </w:r>
          </w:p>
        </w:tc>
        <w:tc>
          <w:tcPr>
            <w:tcW w:type="dxa" w:w="2877"/>
            <w:vAlign w:val="top"/>
          </w:tcPr>
          <w:p/>
        </w:tc>
        <w:tc>
          <w:tcPr>
            <w:tcW w:type="dxa" w:w="4106"/>
            <w:vAlign w:val="top"/>
          </w:tcPr>
          <w:p/>
        </w:tc>
      </w:tr>
      <w:tr>
        <w:tc>
          <w:tcPr>
            <w:tcW w:type="dxa" w:w="1333"/>
            <w:vAlign w:val="top"/>
          </w:tcPr>
          <w:p>
            <w:r>
              <w:rPr>
                <w:color w:val="212121"/>
                <w:sz w:val="21"/>
              </w:rPr>
              <w:t>签定日期：</w:t>
            </w:r>
          </w:p>
        </w:tc>
        <w:tc>
          <w:tcPr>
            <w:tcW w:type="dxa" w:w="2877"/>
            <w:vAlign w:val="top"/>
          </w:tcPr>
          <w:p/>
        </w:tc>
        <w:tc>
          <w:tcPr>
            <w:tcW w:type="dxa" w:w="4106"/>
            <w:vAlign w:val="top"/>
          </w:tc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440001-2022-26185</w:t>
      </w:r>
    </w:p>
    <w:p>
      <w:pPr>
        <w:jc w:val="center"/>
      </w:pPr>
      <w:r>
        <w:rPr>
          <w:b/>
          <w:sz w:val="24"/>
        </w:rPr>
        <w:t>采购项目编号：</w:t>
      </w:r>
      <w:r>
        <w:rPr>
          <w:b/>
          <w:sz w:val="24"/>
        </w:rPr>
        <w:t>0809-2241GDG33130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广东省公共卫生医学中心环境影响评价服务项目</w:t>
      </w:r>
      <w:r>
        <w:rPr/>
        <w:t>项目的招标[采购项目编号为：</w:t>
      </w:r>
      <w:r>
        <w:rPr>
          <w:u w:val="single"/>
        </w:rPr>
        <w:t>0809-2241GDG33130</w:t>
      </w:r>
      <w:r>
        <w:rPr/>
        <w:t>]，我方愿参与投标。</w:t>
      </w:r>
    </w:p>
    <w:p>
      <w:pPr>
        <w:ind w:firstLine="480"/>
      </w:pPr>
      <w:r>
        <w:rPr/>
        <w:t>我方确认收到贵方提供的</w:t>
      </w:r>
      <w:r>
        <w:rPr>
          <w:u w:val="single"/>
        </w:rPr>
        <w:t>广东省公共卫生医学中心环境影响评价服务项目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广东省公共卫生医学中心环境影响评价服务项目</w:t>
      </w:r>
      <w:r>
        <w:rPr/>
        <w:t>项目采购[采购项目编号为</w:t>
      </w:r>
      <w:r>
        <w:rPr/>
        <w:t>0809-2241GDG33130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广东省公共卫生医学中心环境影响评价服务项目</w:t>
      </w:r>
      <w:r>
        <w:rPr/>
        <w:t>招标中获中标（采购项目编号：</w:t>
      </w:r>
      <w:r>
        <w:rPr/>
        <w:t>0809-2241GDG33130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广东省公共卫生医学中心环境影响评价服务项目</w:t>
      </w:r>
      <w:r>
        <w:rPr/>
        <w:t>项目（采购项目编号：</w:t>
      </w:r>
      <w:r>
        <w:rPr/>
        <w:t>0809-2241GDG33130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