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公文小标宋" w:hAnsi="方正公文小标宋" w:eastAsia="方正公文小标宋" w:cs="方正公文小标宋"/>
          <w:b w:val="0"/>
          <w:bCs w:val="0"/>
          <w:color w:val="000000"/>
          <w:kern w:val="0"/>
          <w:sz w:val="44"/>
          <w:szCs w:val="44"/>
          <w:lang w:val="en-US" w:eastAsia="zh-CN" w:bidi="ar"/>
        </w:rPr>
      </w:pPr>
      <w:r>
        <w:rPr>
          <w:rFonts w:hint="eastAsia" w:ascii="方正公文小标宋" w:hAnsi="方正公文小标宋" w:eastAsia="方正公文小标宋" w:cs="方正公文小标宋"/>
          <w:b w:val="0"/>
          <w:bCs w:val="0"/>
          <w:color w:val="000000"/>
          <w:kern w:val="0"/>
          <w:sz w:val="44"/>
          <w:szCs w:val="44"/>
          <w:lang w:val="en-US" w:eastAsia="zh-CN" w:bidi="ar"/>
        </w:rPr>
        <w:t>HIS系统医保智能监管子系统事前、事中</w:t>
      </w:r>
    </w:p>
    <w:p>
      <w:pPr>
        <w:keepNext w:val="0"/>
        <w:keepLines w:val="0"/>
        <w:widowControl/>
        <w:suppressLineNumbers w:val="0"/>
        <w:jc w:val="center"/>
        <w:rPr>
          <w:rFonts w:hint="eastAsia" w:ascii="仿宋_GB2312" w:hAnsi="仿宋_GB2312" w:eastAsia="仿宋_GB2312" w:cs="仿宋_GB2312"/>
          <w:b w:val="0"/>
          <w:bCs w:val="0"/>
          <w:color w:val="000000"/>
          <w:kern w:val="0"/>
          <w:sz w:val="32"/>
          <w:szCs w:val="32"/>
          <w:lang w:val="en-US" w:eastAsia="zh-CN" w:bidi="ar"/>
        </w:rPr>
      </w:pPr>
      <w:r>
        <w:rPr>
          <w:rFonts w:hint="eastAsia" w:ascii="方正公文小标宋" w:hAnsi="方正公文小标宋" w:eastAsia="方正公文小标宋" w:cs="方正公文小标宋"/>
          <w:b w:val="0"/>
          <w:bCs w:val="0"/>
          <w:color w:val="000000"/>
          <w:kern w:val="0"/>
          <w:sz w:val="44"/>
          <w:szCs w:val="44"/>
          <w:lang w:val="en-US" w:eastAsia="zh-CN" w:bidi="ar"/>
        </w:rPr>
        <w:t>功能应用接口改造需求</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根据东莞市医疗保障智能监管子系统事前、事中功能应用工作的要求，我院东城门诊、莞城门诊在2024年第二季度前完成接入智能监管子系统，需进行HIS系统接口改造、数据上传和验证、系统测试、运行评估等一系列工作。</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2024年5月8日，院长办公会议同意进行HIS系统医保智能监管子系统事前、事中功能应用接口改造，费用预算6万元，调整使用科室内年度预算经费。由信息科办理。</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一、接口改造工作需求：</w:t>
      </w:r>
    </w:p>
    <w:tbl>
      <w:tblPr>
        <w:tblStyle w:val="5"/>
        <w:tblW w:w="9298"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2267"/>
        <w:gridCol w:w="5355"/>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22" w:type="dxa"/>
            <w:shd w:val="clear" w:color="auto" w:fill="3366FF"/>
            <w:vAlign w:val="top"/>
          </w:tcPr>
          <w:p>
            <w:pPr>
              <w:pStyle w:val="4"/>
              <w:spacing w:before="178" w:line="194" w:lineRule="auto"/>
              <w:ind w:left="230"/>
            </w:pPr>
            <w:r>
              <w:rPr>
                <w:b/>
                <w:bCs/>
                <w:color w:val="FFFFFF"/>
                <w:spacing w:val="-1"/>
              </w:rPr>
              <w:t>序号</w:t>
            </w:r>
          </w:p>
        </w:tc>
        <w:tc>
          <w:tcPr>
            <w:tcW w:w="2267" w:type="dxa"/>
            <w:shd w:val="clear" w:color="auto" w:fill="3366FF"/>
            <w:vAlign w:val="top"/>
          </w:tcPr>
          <w:p>
            <w:pPr>
              <w:pStyle w:val="4"/>
              <w:spacing w:before="177" w:line="194" w:lineRule="auto"/>
              <w:ind w:left="862"/>
            </w:pPr>
            <w:r>
              <w:rPr>
                <w:b/>
                <w:bCs/>
                <w:color w:val="FFFFFF"/>
                <w:spacing w:val="-2"/>
              </w:rPr>
              <w:t>工作项</w:t>
            </w:r>
          </w:p>
        </w:tc>
        <w:tc>
          <w:tcPr>
            <w:tcW w:w="5355" w:type="dxa"/>
            <w:shd w:val="clear" w:color="auto" w:fill="3366FF"/>
            <w:vAlign w:val="top"/>
          </w:tcPr>
          <w:p>
            <w:pPr>
              <w:pStyle w:val="4"/>
              <w:spacing w:before="178" w:line="194" w:lineRule="auto"/>
              <w:ind w:left="2318"/>
            </w:pPr>
            <w:r>
              <w:rPr>
                <w:b/>
                <w:bCs/>
                <w:color w:val="FFFFFF"/>
                <w:spacing w:val="-1"/>
              </w:rPr>
              <w:t>工作内容</w:t>
            </w:r>
          </w:p>
        </w:tc>
        <w:tc>
          <w:tcPr>
            <w:tcW w:w="854" w:type="dxa"/>
            <w:shd w:val="clear" w:color="auto" w:fill="3366FF"/>
            <w:vAlign w:val="top"/>
          </w:tcPr>
          <w:p>
            <w:pPr>
              <w:pStyle w:val="4"/>
              <w:spacing w:before="177" w:line="195" w:lineRule="auto"/>
              <w:ind w:left="245"/>
            </w:pPr>
            <w:r>
              <w:rPr>
                <w:b/>
                <w:bCs/>
                <w:color w:val="FFFFFF"/>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2" w:type="dxa"/>
            <w:vAlign w:val="top"/>
          </w:tcPr>
          <w:p>
            <w:pPr>
              <w:pStyle w:val="4"/>
              <w:spacing w:before="183" w:line="172" w:lineRule="auto"/>
              <w:ind w:left="373"/>
            </w:pPr>
            <w:r>
              <w:t>1</w:t>
            </w:r>
          </w:p>
        </w:tc>
        <w:tc>
          <w:tcPr>
            <w:tcW w:w="2267" w:type="dxa"/>
            <w:vAlign w:val="top"/>
          </w:tcPr>
          <w:p>
            <w:pPr>
              <w:pStyle w:val="4"/>
              <w:spacing w:before="176" w:line="194" w:lineRule="auto"/>
              <w:ind w:left="321"/>
            </w:pPr>
            <w:r>
              <w:rPr>
                <w:spacing w:val="-1"/>
              </w:rPr>
              <w:t>需求分析与系统设计</w:t>
            </w:r>
          </w:p>
        </w:tc>
        <w:tc>
          <w:tcPr>
            <w:tcW w:w="5355" w:type="dxa"/>
            <w:vAlign w:val="top"/>
          </w:tcPr>
          <w:p>
            <w:pPr>
              <w:pStyle w:val="4"/>
              <w:spacing w:before="176" w:line="194" w:lineRule="auto"/>
              <w:ind w:left="106"/>
            </w:pPr>
            <w:r>
              <w:rPr>
                <w:spacing w:val="-1"/>
              </w:rPr>
              <w:t>需求分析与系统设计</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82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4"/>
              <w:spacing w:before="77" w:line="172" w:lineRule="auto"/>
              <w:ind w:left="365"/>
            </w:pPr>
            <w:r>
              <w:t>2</w:t>
            </w:r>
          </w:p>
        </w:tc>
        <w:tc>
          <w:tcPr>
            <w:tcW w:w="226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4"/>
              <w:spacing w:before="77" w:line="194" w:lineRule="auto"/>
              <w:ind w:left="782"/>
            </w:pPr>
            <w:r>
              <w:rPr>
                <w:spacing w:val="-4"/>
              </w:rPr>
              <w:t>门诊医生</w:t>
            </w:r>
          </w:p>
        </w:tc>
        <w:tc>
          <w:tcPr>
            <w:tcW w:w="5355" w:type="dxa"/>
            <w:vAlign w:val="top"/>
          </w:tcPr>
          <w:p>
            <w:pPr>
              <w:pStyle w:val="4"/>
              <w:spacing w:before="255" w:line="194" w:lineRule="auto"/>
              <w:ind w:left="122"/>
            </w:pPr>
            <w:r>
              <w:rPr>
                <w:spacing w:val="-1"/>
              </w:rPr>
              <w:t>1、【3101】明细审核事前分析服务接口改造</w:t>
            </w:r>
          </w:p>
          <w:p>
            <w:pPr>
              <w:pStyle w:val="4"/>
              <w:spacing w:before="62" w:line="216" w:lineRule="auto"/>
              <w:ind w:left="293" w:right="281" w:firstLine="8"/>
            </w:pPr>
            <w:r>
              <w:rPr>
                <w:spacing w:val="-1"/>
              </w:rPr>
              <w:t>1）保存每次接口调用的调用日志，用大字段记录出入参信息</w:t>
            </w:r>
            <w:r>
              <w:rPr>
                <w:spacing w:val="6"/>
              </w:rPr>
              <w:t xml:space="preserve"> </w:t>
            </w:r>
            <w:r>
              <w:rPr>
                <w:spacing w:val="-1"/>
              </w:rPr>
              <w:t>2）解析接口出参违规信息并保存到违规记</w:t>
            </w:r>
            <w:r>
              <w:rPr>
                <w:spacing w:val="-2"/>
              </w:rPr>
              <w:t>录表中</w:t>
            </w:r>
          </w:p>
          <w:p>
            <w:pPr>
              <w:pStyle w:val="4"/>
              <w:spacing w:before="69" w:line="242" w:lineRule="auto"/>
              <w:ind w:left="113"/>
            </w:pPr>
            <w:r>
              <w:rPr>
                <w:spacing w:val="-1"/>
              </w:rPr>
              <w:t>2、【3103】事前事中服务反馈服务接口改造</w:t>
            </w:r>
          </w:p>
          <w:p>
            <w:pPr>
              <w:pStyle w:val="4"/>
              <w:spacing w:line="189" w:lineRule="auto"/>
              <w:ind w:left="302"/>
            </w:pPr>
            <w:r>
              <w:rPr>
                <w:spacing w:val="-2"/>
              </w:rPr>
              <w:t>1）更新违规记录处理结果</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822" w:type="dxa"/>
            <w:vAlign w:val="top"/>
          </w:tcPr>
          <w:p>
            <w:pPr>
              <w:spacing w:line="316" w:lineRule="auto"/>
              <w:rPr>
                <w:rFonts w:ascii="Arial"/>
                <w:sz w:val="21"/>
              </w:rPr>
            </w:pPr>
          </w:p>
          <w:p>
            <w:pPr>
              <w:spacing w:line="317" w:lineRule="auto"/>
              <w:rPr>
                <w:rFonts w:ascii="Arial"/>
                <w:sz w:val="21"/>
              </w:rPr>
            </w:pPr>
          </w:p>
          <w:p>
            <w:pPr>
              <w:pStyle w:val="4"/>
              <w:spacing w:before="77" w:line="172" w:lineRule="auto"/>
              <w:ind w:left="367"/>
            </w:pPr>
            <w:r>
              <w:t>3</w:t>
            </w:r>
          </w:p>
        </w:tc>
        <w:tc>
          <w:tcPr>
            <w:tcW w:w="2267" w:type="dxa"/>
            <w:vAlign w:val="top"/>
          </w:tcPr>
          <w:p>
            <w:pPr>
              <w:spacing w:line="313" w:lineRule="auto"/>
              <w:rPr>
                <w:rFonts w:ascii="Arial"/>
                <w:sz w:val="21"/>
              </w:rPr>
            </w:pPr>
          </w:p>
          <w:p>
            <w:pPr>
              <w:spacing w:line="313" w:lineRule="auto"/>
              <w:rPr>
                <w:rFonts w:ascii="Arial"/>
                <w:sz w:val="21"/>
              </w:rPr>
            </w:pPr>
          </w:p>
          <w:p>
            <w:pPr>
              <w:pStyle w:val="4"/>
              <w:spacing w:before="77" w:line="194" w:lineRule="auto"/>
              <w:ind w:left="782"/>
            </w:pPr>
            <w:r>
              <w:rPr>
                <w:spacing w:val="-4"/>
              </w:rPr>
              <w:t>门诊收费</w:t>
            </w:r>
          </w:p>
        </w:tc>
        <w:tc>
          <w:tcPr>
            <w:tcW w:w="5355" w:type="dxa"/>
            <w:vAlign w:val="top"/>
          </w:tcPr>
          <w:p>
            <w:pPr>
              <w:pStyle w:val="4"/>
              <w:spacing w:before="82" w:line="194" w:lineRule="auto"/>
              <w:ind w:left="122"/>
            </w:pPr>
            <w:r>
              <w:rPr>
                <w:spacing w:val="-1"/>
              </w:rPr>
              <w:t>1、【3102】明细审核事中分析服务接口改造</w:t>
            </w:r>
          </w:p>
          <w:p>
            <w:pPr>
              <w:pStyle w:val="4"/>
              <w:spacing w:before="62" w:line="216" w:lineRule="auto"/>
              <w:ind w:left="324" w:right="281" w:hanging="22"/>
            </w:pPr>
            <w:r>
              <w:rPr>
                <w:spacing w:val="-1"/>
              </w:rPr>
              <w:t>1）保存每次接口调用的调用日志，用大字段记录出入参信息</w:t>
            </w:r>
            <w:r>
              <w:rPr>
                <w:spacing w:val="6"/>
              </w:rPr>
              <w:t xml:space="preserve"> </w:t>
            </w:r>
            <w:r>
              <w:rPr>
                <w:spacing w:val="-1"/>
              </w:rPr>
              <w:t>2）解析接口出参违规信息并保存到违规记</w:t>
            </w:r>
            <w:r>
              <w:rPr>
                <w:spacing w:val="-2"/>
              </w:rPr>
              <w:t>录表中</w:t>
            </w:r>
          </w:p>
          <w:p>
            <w:pPr>
              <w:pStyle w:val="4"/>
              <w:spacing w:before="69" w:line="242" w:lineRule="auto"/>
              <w:ind w:left="113"/>
            </w:pPr>
            <w:r>
              <w:rPr>
                <w:spacing w:val="-1"/>
              </w:rPr>
              <w:t>2、【3103】事前事中服务反馈服务接口改造</w:t>
            </w:r>
          </w:p>
          <w:p>
            <w:pPr>
              <w:pStyle w:val="4"/>
              <w:spacing w:line="172" w:lineRule="auto"/>
              <w:ind w:left="302"/>
            </w:pPr>
            <w:r>
              <w:rPr>
                <w:spacing w:val="-2"/>
              </w:rPr>
              <w:t>1）更新违规记录处理结果</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22" w:type="dxa"/>
            <w:vAlign w:val="top"/>
          </w:tcPr>
          <w:p>
            <w:pPr>
              <w:pStyle w:val="4"/>
              <w:spacing w:before="147" w:line="170" w:lineRule="auto"/>
              <w:ind w:left="356"/>
            </w:pPr>
            <w:r>
              <w:t>4</w:t>
            </w:r>
          </w:p>
        </w:tc>
        <w:tc>
          <w:tcPr>
            <w:tcW w:w="2267" w:type="dxa"/>
            <w:vAlign w:val="top"/>
          </w:tcPr>
          <w:p>
            <w:pPr>
              <w:pStyle w:val="4"/>
              <w:spacing w:before="137" w:line="194" w:lineRule="auto"/>
              <w:ind w:left="769"/>
            </w:pPr>
            <w:r>
              <w:rPr>
                <w:spacing w:val="-1"/>
              </w:rPr>
              <w:t>实施调试</w:t>
            </w:r>
          </w:p>
        </w:tc>
        <w:tc>
          <w:tcPr>
            <w:tcW w:w="5355" w:type="dxa"/>
            <w:vAlign w:val="top"/>
          </w:tcPr>
          <w:p>
            <w:pPr>
              <w:pStyle w:val="4"/>
              <w:spacing w:before="137" w:line="194" w:lineRule="auto"/>
              <w:ind w:left="106"/>
            </w:pPr>
            <w:r>
              <w:rPr>
                <w:spacing w:val="-1"/>
              </w:rPr>
              <w:t>实施系统升级、调试、维护</w:t>
            </w: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22" w:type="dxa"/>
            <w:vAlign w:val="top"/>
          </w:tcPr>
          <w:p>
            <w:pPr>
              <w:pStyle w:val="4"/>
              <w:spacing w:before="147" w:line="170" w:lineRule="auto"/>
              <w:ind w:left="356"/>
              <w:rPr>
                <w:rFonts w:hint="eastAsia" w:eastAsia="微软雅黑"/>
                <w:lang w:val="en-US" w:eastAsia="zh-CN"/>
              </w:rPr>
            </w:pPr>
            <w:r>
              <w:rPr>
                <w:rFonts w:hint="eastAsia"/>
                <w:lang w:val="en-US" w:eastAsia="zh-CN"/>
              </w:rPr>
              <w:t>5</w:t>
            </w:r>
          </w:p>
        </w:tc>
        <w:tc>
          <w:tcPr>
            <w:tcW w:w="2267" w:type="dxa"/>
            <w:vAlign w:val="top"/>
          </w:tcPr>
          <w:p>
            <w:pPr>
              <w:pStyle w:val="4"/>
              <w:spacing w:before="137" w:line="194" w:lineRule="auto"/>
              <w:ind w:left="769"/>
              <w:rPr>
                <w:rFonts w:hint="default" w:eastAsia="微软雅黑"/>
                <w:spacing w:val="-1"/>
                <w:lang w:val="en-US" w:eastAsia="zh-CN"/>
              </w:rPr>
            </w:pPr>
            <w:r>
              <w:rPr>
                <w:rFonts w:hint="eastAsia"/>
                <w:spacing w:val="-1"/>
                <w:lang w:val="en-US" w:eastAsia="zh-CN"/>
              </w:rPr>
              <w:t>工期要求</w:t>
            </w:r>
          </w:p>
        </w:tc>
        <w:tc>
          <w:tcPr>
            <w:tcW w:w="5355" w:type="dxa"/>
            <w:vAlign w:val="top"/>
          </w:tcPr>
          <w:p>
            <w:pPr>
              <w:pStyle w:val="4"/>
              <w:spacing w:before="137" w:line="194" w:lineRule="auto"/>
              <w:ind w:left="106"/>
              <w:rPr>
                <w:rFonts w:hint="default" w:eastAsia="微软雅黑"/>
                <w:spacing w:val="-1"/>
                <w:lang w:val="en-US" w:eastAsia="zh-CN"/>
              </w:rPr>
            </w:pPr>
            <w:r>
              <w:rPr>
                <w:rFonts w:hint="eastAsia"/>
                <w:spacing w:val="-1"/>
                <w:lang w:val="en-US" w:eastAsia="zh-CN"/>
              </w:rPr>
              <w:t>20天完成</w:t>
            </w:r>
          </w:p>
        </w:tc>
        <w:tc>
          <w:tcPr>
            <w:tcW w:w="854" w:type="dxa"/>
            <w:vAlign w:val="top"/>
          </w:tcPr>
          <w:p>
            <w:pPr>
              <w:rPr>
                <w:rFonts w:ascii="Arial"/>
                <w:sz w:val="21"/>
              </w:rPr>
            </w:pPr>
          </w:p>
        </w:tc>
      </w:tr>
    </w:tbl>
    <w:p>
      <w:pPr>
        <w:keepNext w:val="0"/>
        <w:keepLines w:val="0"/>
        <w:widowControl/>
        <w:numPr>
          <w:ilvl w:val="0"/>
          <w:numId w:val="0"/>
        </w:numPr>
        <w:suppressLineNumbers w:val="0"/>
        <w:jc w:val="left"/>
        <w:rPr>
          <w:rFonts w:hint="default" w:ascii="仿宋_GB2312" w:hAnsi="仿宋_GB2312" w:eastAsia="仿宋_GB2312" w:cs="仿宋_GB2312"/>
          <w:b w:val="0"/>
          <w:bCs w:val="0"/>
          <w:color w:val="000000"/>
          <w:kern w:val="0"/>
          <w:sz w:val="32"/>
          <w:szCs w:val="32"/>
          <w:lang w:val="en-US" w:eastAsia="zh-CN" w:bidi="ar"/>
        </w:rPr>
      </w:pPr>
    </w:p>
    <w:p>
      <w:pPr>
        <w:keepNext w:val="0"/>
        <w:keepLines w:val="0"/>
        <w:widowControl/>
        <w:numPr>
          <w:ilvl w:val="0"/>
          <w:numId w:val="1"/>
        </w:numPr>
        <w:suppressLineNumbers w:val="0"/>
        <w:ind w:firstLine="640" w:firstLineChars="200"/>
        <w:jc w:val="left"/>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采购方式及</w:t>
      </w:r>
      <w:r>
        <w:rPr>
          <w:rFonts w:hint="default" w:ascii="仿宋_GB2312" w:hAnsi="仿宋_GB2312" w:eastAsia="仿宋_GB2312" w:cs="仿宋_GB2312"/>
          <w:b w:val="0"/>
          <w:bCs w:val="0"/>
          <w:color w:val="000000"/>
          <w:kern w:val="0"/>
          <w:sz w:val="32"/>
          <w:szCs w:val="32"/>
          <w:lang w:val="en-US" w:eastAsia="zh-CN" w:bidi="ar"/>
        </w:rPr>
        <w:t>理由</w:t>
      </w:r>
    </w:p>
    <w:p>
      <w:pPr>
        <w:keepNext w:val="0"/>
        <w:keepLines w:val="0"/>
        <w:widowControl/>
        <w:numPr>
          <w:ilvl w:val="0"/>
          <w:numId w:val="2"/>
        </w:numPr>
        <w:suppressLineNumbers w:val="0"/>
        <w:ind w:left="-640" w:leftChars="0" w:firstLine="640" w:firstLineChars="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建议以单一来源采购方式进行采购。</w:t>
      </w:r>
    </w:p>
    <w:p>
      <w:pPr>
        <w:keepNext w:val="0"/>
        <w:keepLines w:val="0"/>
        <w:widowControl/>
        <w:numPr>
          <w:ilvl w:val="0"/>
          <w:numId w:val="2"/>
        </w:numPr>
        <w:suppressLineNumbers w:val="0"/>
        <w:ind w:left="-640" w:leftChars="0" w:firstLine="640" w:firstLineChars="0"/>
        <w:jc w:val="left"/>
        <w:rPr>
          <w:rFonts w:hint="default" w:ascii="仿宋_GB2312" w:hAnsi="仿宋_GB2312" w:eastAsia="仿宋_GB2312" w:cs="仿宋_GB2312"/>
          <w:b w:val="0"/>
          <w:bCs w:val="0"/>
          <w:color w:val="000000"/>
          <w:kern w:val="0"/>
          <w:sz w:val="32"/>
          <w:szCs w:val="32"/>
          <w:lang w:val="en-US" w:eastAsia="zh-CN" w:bidi="ar"/>
        </w:rPr>
      </w:pPr>
      <w:r>
        <w:rPr>
          <w:rFonts w:hint="default" w:ascii="仿宋_GB2312" w:hAnsi="仿宋_GB2312" w:eastAsia="仿宋_GB2312" w:cs="仿宋_GB2312"/>
          <w:b w:val="0"/>
          <w:bCs w:val="0"/>
          <w:color w:val="000000"/>
          <w:kern w:val="0"/>
          <w:sz w:val="32"/>
          <w:szCs w:val="32"/>
          <w:lang w:val="en-US" w:eastAsia="zh-CN" w:bidi="ar"/>
        </w:rPr>
        <w:t xml:space="preserve">广东省泗安医院门诊医院信息系统的软件开发的原厂商为金蝶医疗软件科技有限公司。该系统的对接改造、升级工作对业务专业性要求高，综合性强，涉及面广，且改造、升级过程中会涉及敏感数据，由原厂商对该系统进行升级能保证数据安全与系统持续稳定。同时，医疗信息化的建设与开发、 维护具有其自身的特殊性，其他供应商不掌握其代码源，原厂商历年来一直从事该项目的维护工作。本次系统升级若由原开发、 维护单位来完成，才能最大程度上，保证项目实施的连续性和统一性。所以现有系统供应商在本项目中提供的服务具有独占性，符合《中华人民共和国政府采购法实施条例》释义第二十七条【单一来源采购方式适用情形】因为专有技术或服务具有独占性，只能由某一特定的供应商提供的情形。 </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供应商信息</w:t>
      </w:r>
      <w:bookmarkStart w:id="0" w:name="_GoBack"/>
      <w:bookmarkEnd w:id="0"/>
    </w:p>
    <w:p>
      <w:pPr>
        <w:keepNext w:val="0"/>
        <w:keepLines w:val="0"/>
        <w:widowControl/>
        <w:numPr>
          <w:ilvl w:val="0"/>
          <w:numId w:val="0"/>
        </w:numPr>
        <w:suppressLineNumbers w:val="0"/>
        <w:ind w:leftChars="200"/>
        <w:jc w:val="left"/>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推荐供应商：</w:t>
      </w:r>
      <w:r>
        <w:rPr>
          <w:rFonts w:hint="default" w:ascii="仿宋_GB2312" w:hAnsi="仿宋_GB2312" w:eastAsia="仿宋_GB2312" w:cs="仿宋_GB2312"/>
          <w:b w:val="0"/>
          <w:bCs w:val="0"/>
          <w:color w:val="000000"/>
          <w:kern w:val="0"/>
          <w:sz w:val="32"/>
          <w:szCs w:val="32"/>
          <w:lang w:val="en-US" w:eastAsia="zh-CN" w:bidi="ar"/>
        </w:rPr>
        <w:t>金医慧通科技有限公司</w:t>
      </w:r>
    </w:p>
    <w:p>
      <w:pPr>
        <w:keepNext w:val="0"/>
        <w:keepLines w:val="0"/>
        <w:widowControl/>
        <w:numPr>
          <w:ilvl w:val="0"/>
          <w:numId w:val="0"/>
        </w:numPr>
        <w:suppressLineNumbers w:val="0"/>
        <w:ind w:leftChars="200"/>
        <w:jc w:val="left"/>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供应商</w:t>
      </w:r>
      <w:r>
        <w:rPr>
          <w:rFonts w:hint="default" w:ascii="仿宋_GB2312" w:hAnsi="仿宋_GB2312" w:eastAsia="仿宋_GB2312" w:cs="仿宋_GB2312"/>
          <w:b w:val="0"/>
          <w:bCs w:val="0"/>
          <w:color w:val="000000"/>
          <w:kern w:val="0"/>
          <w:sz w:val="32"/>
          <w:szCs w:val="32"/>
          <w:lang w:val="en-US" w:eastAsia="zh-CN" w:bidi="ar"/>
        </w:rPr>
        <w:t>地址:广州市海珠区琶洲大道 78 号广铝国际中心 15 楼</w:t>
      </w:r>
    </w:p>
    <w:p>
      <w:pPr>
        <w:keepNext w:val="0"/>
        <w:keepLines w:val="0"/>
        <w:widowControl/>
        <w:numPr>
          <w:ilvl w:val="0"/>
          <w:numId w:val="0"/>
        </w:numPr>
        <w:suppressLineNumbers w:val="0"/>
        <w:ind w:leftChars="200"/>
        <w:jc w:val="left"/>
        <w:rPr>
          <w:rFonts w:hint="default" w:ascii="仿宋_GB2312" w:hAnsi="仿宋_GB2312" w:eastAsia="仿宋_GB2312" w:cs="仿宋_GB2312"/>
          <w:b w:val="0"/>
          <w:bCs w:val="0"/>
          <w:color w:val="000000"/>
          <w:kern w:val="0"/>
          <w:sz w:val="32"/>
          <w:szCs w:val="32"/>
          <w:lang w:val="en-US" w:eastAsia="zh-CN" w:bidi="ar"/>
        </w:rPr>
      </w:pPr>
    </w:p>
    <w:p>
      <w:pPr>
        <w:keepNext w:val="0"/>
        <w:keepLines w:val="0"/>
        <w:widowControl/>
        <w:numPr>
          <w:ilvl w:val="0"/>
          <w:numId w:val="0"/>
        </w:numPr>
        <w:suppressLineNumbers w:val="0"/>
        <w:ind w:leftChars="200"/>
        <w:jc w:val="left"/>
        <w:rPr>
          <w:rFonts w:hint="default" w:ascii="仿宋_GB2312" w:hAnsi="仿宋_GB2312" w:eastAsia="仿宋_GB2312" w:cs="仿宋_GB2312"/>
          <w:b w:val="0"/>
          <w:bCs w:val="0"/>
          <w:color w:val="000000"/>
          <w:kern w:val="0"/>
          <w:sz w:val="32"/>
          <w:szCs w:val="32"/>
          <w:lang w:val="en-US" w:eastAsia="zh-CN" w:bidi="ar"/>
        </w:rPr>
      </w:pPr>
    </w:p>
    <w:p>
      <w:pPr>
        <w:keepNext w:val="0"/>
        <w:keepLines w:val="0"/>
        <w:widowControl/>
        <w:numPr>
          <w:ilvl w:val="0"/>
          <w:numId w:val="0"/>
        </w:numPr>
        <w:suppressLineNumbers w:val="0"/>
        <w:ind w:leftChars="200"/>
        <w:jc w:val="right"/>
        <w:rPr>
          <w:rFonts w:hint="default" w:ascii="仿宋_GB2312" w:hAnsi="仿宋_GB2312" w:eastAsia="仿宋_GB2312" w:cs="仿宋_GB2312"/>
          <w:b w:val="0"/>
          <w:bCs w:val="0"/>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A77BDB4-08E4-48B7-9826-1C38402271E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2" w:fontKey="{9C2AAB07-D85C-4177-89B9-AB6D494C1CAA}"/>
  </w:font>
  <w:font w:name="方正公文小标宋">
    <w:panose1 w:val="02000500000000000000"/>
    <w:charset w:val="86"/>
    <w:family w:val="auto"/>
    <w:pitch w:val="default"/>
    <w:sig w:usb0="A00002BF" w:usb1="38CF7CFA" w:usb2="00000016" w:usb3="00000000" w:csb0="00040001" w:csb1="00000000"/>
    <w:embedRegular r:id="rId3" w:fontKey="{97E261D5-0C54-4558-B0B8-B90DE4A68BCA}"/>
  </w:font>
  <w:font w:name="仿宋_GB2312">
    <w:panose1 w:val="02010609030101010101"/>
    <w:charset w:val="86"/>
    <w:family w:val="auto"/>
    <w:pitch w:val="default"/>
    <w:sig w:usb0="00000001" w:usb1="080E0000" w:usb2="00000000" w:usb3="00000000" w:csb0="00040000" w:csb1="00000000"/>
    <w:embedRegular r:id="rId4" w:fontKey="{1C851D21-90F4-4189-8821-6D0B3D359A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05B93"/>
    <w:multiLevelType w:val="singleLevel"/>
    <w:tmpl w:val="88F05B93"/>
    <w:lvl w:ilvl="0" w:tentative="0">
      <w:start w:val="2"/>
      <w:numFmt w:val="chineseCounting"/>
      <w:suff w:val="nothing"/>
      <w:lvlText w:val="%1、"/>
      <w:lvlJc w:val="left"/>
      <w:rPr>
        <w:rFonts w:hint="eastAsia"/>
      </w:rPr>
    </w:lvl>
  </w:abstractNum>
  <w:abstractNum w:abstractNumId="1">
    <w:nsid w:val="BE2BD18B"/>
    <w:multiLevelType w:val="singleLevel"/>
    <w:tmpl w:val="BE2BD18B"/>
    <w:lvl w:ilvl="0" w:tentative="0">
      <w:start w:val="1"/>
      <w:numFmt w:val="chineseCounting"/>
      <w:suff w:val="nothing"/>
      <w:lvlText w:val="（%1）"/>
      <w:lvlJc w:val="left"/>
      <w:pPr>
        <w:ind w:left="-6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TA1MmRkNjE5ZDVjYTA4MmYxMWNlMTg4MzAxOTYifQ=="/>
  </w:docVars>
  <w:rsids>
    <w:rsidRoot w:val="433E25CE"/>
    <w:rsid w:val="0C773C66"/>
    <w:rsid w:val="15D72862"/>
    <w:rsid w:val="433E25CE"/>
    <w:rsid w:val="704C3934"/>
    <w:rsid w:val="78F8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Table Text"/>
    <w:basedOn w:val="1"/>
    <w:autoRedefine/>
    <w:semiHidden/>
    <w:qFormat/>
    <w:uiPriority w:val="0"/>
    <w:rPr>
      <w:rFonts w:ascii="微软雅黑" w:hAnsi="微软雅黑" w:eastAsia="微软雅黑" w:cs="微软雅黑"/>
      <w:sz w:val="18"/>
      <w:szCs w:val="1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2024-05-22T02:33:00Z</dcterms:created>
  <dc:creator>周剑钊</dc:creator>
  <cp:lastModifiedBy>cc</cp:lastModifiedBy>
  <dcterms:modified xsi:type="dcterms:W3CDTF">2024-05-22T06:40:50Z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0067CA80043F4999A6A9A92902C6EC49_11</vt:lpwstr>
  </property>
</Properties>
</file>